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-WinCharSetFFFF-H" w:hAnsi="仿宋_GB2312-WinCharSetFFFF-H" w:eastAsia="仿宋_GB2312-WinCharSetFFFF-H"/>
          <w:sz w:val="32"/>
        </w:rPr>
      </w:pPr>
      <w:r>
        <w:drawing>
          <wp:inline distT="0" distB="0" distL="114300" distR="114300">
            <wp:extent cx="4314190" cy="5238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中大研字〔2016〕343 号</w:t>
      </w:r>
    </w:p>
    <w:p>
      <w:pPr>
        <w:spacing w:beforeLines="0" w:afterLines="0"/>
        <w:jc w:val="center"/>
        <w:rPr>
          <w:rFonts w:hint="eastAsia" w:ascii="方正小标宋简体-WinCharSetFFFF-H" w:hAnsi="方正小标宋简体-WinCharSetFFFF-H" w:eastAsia="方正小标宋简体-WinCharSetFFFF-H"/>
          <w:sz w:val="44"/>
        </w:rPr>
      </w:pPr>
      <w:r>
        <w:rPr>
          <w:rFonts w:hint="eastAsia" w:ascii="方正小标宋简体-WinCharSetFFFF-H" w:hAnsi="方正小标宋简体-WinCharSetFFFF-H" w:eastAsia="方正小标宋简体-WinCharSetFFFF-H"/>
          <w:sz w:val="44"/>
        </w:rPr>
        <w:t>关于印发《中南大学研究生课程教学</w:t>
      </w:r>
    </w:p>
    <w:p>
      <w:pPr>
        <w:spacing w:beforeLines="0" w:afterLines="0"/>
        <w:jc w:val="center"/>
        <w:rPr>
          <w:rFonts w:hint="eastAsia" w:ascii="方正小标宋简体-WinCharSetFFFF-H" w:hAnsi="方正小标宋简体-WinCharSetFFFF-H" w:eastAsia="方正小标宋简体-WinCharSetFFFF-H"/>
          <w:sz w:val="44"/>
        </w:rPr>
      </w:pPr>
      <w:r>
        <w:rPr>
          <w:rFonts w:hint="eastAsia" w:ascii="方正小标宋简体-WinCharSetFFFF-H" w:hAnsi="方正小标宋简体-WinCharSetFFFF-H" w:eastAsia="方正小标宋简体-WinCharSetFFFF-H"/>
          <w:sz w:val="44"/>
        </w:rPr>
        <w:t>管理办法》的通知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各二级单位：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</w:t>
      </w:r>
      <w:r>
        <w:rPr>
          <w:rFonts w:hint="eastAsia" w:ascii="仿宋_GB2312-WinCharSetFFFF-H" w:hAnsi="仿宋_GB2312-WinCharSetFFFF-H" w:eastAsia="仿宋_GB2312-WinCharSetFFFF-H"/>
          <w:sz w:val="32"/>
        </w:rPr>
        <w:t>《中南大学研究生课程教学管理办法》已经2016 年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10 月13 日第二十次校务会议讨论通过，现印发给你们，请认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真遵照执行。</w:t>
      </w:r>
    </w:p>
    <w:p>
      <w:pPr>
        <w:spacing w:beforeLines="0" w:afterLines="0"/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righ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中南大学</w:t>
      </w: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2016 年11 月28 日</w:t>
      </w: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right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center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第一章总则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第一条</w:t>
      </w: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</w:t>
      </w:r>
      <w:r>
        <w:rPr>
          <w:rFonts w:hint="eastAsia" w:ascii="仿宋_GB2312-WinCharSetFFFF-H" w:hAnsi="仿宋_GB2312-WinCharSetFFFF-H" w:eastAsia="仿宋_GB2312-WinCharSetFFFF-H"/>
          <w:sz w:val="32"/>
        </w:rPr>
        <w:t>为贯彻落实《国务院学位委员会教育部关于加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强学位与研究生教育质量保证和监督体系建设的意见》(学位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〔2014〕3 号)、《教育部关于改进和加强研究生课程建设的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意见》(教研〔2014〕5 号)、《教育部关于加强专业学位研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究生案例教学和联合培养基地建设的意见》(教研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〔2015〕1 号)，进一步规范我校研究生课程管理和教学运行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管理等工作，更好地发挥课程学习在研究生培养中的重要作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用，提升研究生的创新能力和发展能力，特制定本管理办法。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第二条</w:t>
      </w: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</w:t>
      </w:r>
      <w:r>
        <w:rPr>
          <w:rFonts w:hint="eastAsia" w:ascii="仿宋_GB2312-WinCharSetFFFF-H" w:hAnsi="仿宋_GB2312-WinCharSetFFFF-H" w:eastAsia="仿宋_GB2312-WinCharSetFFFF-H"/>
          <w:sz w:val="32"/>
        </w:rPr>
        <w:t>本办法适用于学校各类型研究生课程教学管理工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作。</w:t>
      </w:r>
    </w:p>
    <w:p>
      <w:pPr>
        <w:spacing w:beforeLines="0" w:afterLines="0"/>
        <w:jc w:val="center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第二章管理体制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第三条研究生课程教学管理实行校、院两级管理体制，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明确各质量主体职责，不断提高人才培养水平。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（一）研究生院作为全校研究生课程与教学管理的主管机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构，代表学校行使有关职能，主要职责: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1.以研究生成长成才的能力培养为中心，立足学科长远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发展，组织修（制）订各类研究生培养方案；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  <w:lang w:val="en-US" w:eastAsia="zh-CN"/>
        </w:rPr>
        <w:t xml:space="preserve">    </w:t>
      </w:r>
      <w:r>
        <w:rPr>
          <w:rFonts w:hint="eastAsia" w:ascii="仿宋_GB2312-WinCharSetFFFF-H" w:hAnsi="仿宋_GB2312-WinCharSetFFFF-H" w:eastAsia="仿宋_GB2312-WinCharSetFFFF-H"/>
          <w:sz w:val="32"/>
        </w:rPr>
        <w:t>2.负责全校研究生课程与教学的宏观管理并协调二级研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究生培养单位（以下简称二级单位）开课安排，制定有关规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章制度；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3.负责研究生公共课程教学安排与公共学位课程考核组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织；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4.负责研究生课程重修、缓考及校外课程学习申请的审批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与管理；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5.负责研究生成绩单的审核与盖章；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6.组织开展研究生课程建设与教学研究工作；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7.对研究生课堂教学、课程考核与组织、培养环节执行情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况、教学材料归档等教学过程进行监督与管理；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8.组织研究生课程教学质量检查与评估。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（二）研究生工作部负责全校研究生考风考纪建设和考试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违纪研究生的处理。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（三）后勤保障部、信息与网络中心等相关部门做好教学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设施的检查和维护工作，保障研究生课程教学过程和课程考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核工作顺利进行。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（四）二级单位负责课程开设与教学实施具体工作，是研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究生课程教学质量保证的主体，应不断增强质量自律。院长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是第一责任人，对本单位的教学工作负全面责任；主管研究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生工作的负责人（以下简称负责人）主管研究生课程教学工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作。主要职责：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1.贯彻执行学校研究生教学工作的指导思想和统一部署，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科学认识课程学习在研究生培养中的重要地位与功能；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2.修（制）订本单位有关学科研究生培养方案、制定各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培养环节考核标准并保证考核质量、审核课程教学大纲；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3.全面承担课程建设责任，加强对课程建设的长远和系统规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划，把课程建设作为评价学科发展质量和衡量人才培养水平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的重要指标；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4.负责本单位开设课程的教学安排与组织；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5.加强研究生课程教学检查，维护稳定的课堂教学秩序，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保证研究生课程教学质量；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6.负责本单位开设的（除研究生院安排的课程外）所有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课程和培养环节的考核组织、监考人员安排及考前培训、考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试过程的检查与管理；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7.对研究生开展考风、考纪、诚信考试等方面的教育；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8.严格执行学位论文开题、博士生资格考试制度，切实发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挥其在研究生培养过程中的筛选作用;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9.负责本单位开设课程的成绩录入与管理;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10.负责本单位研究生成绩单的审核与盖章;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11.负责课程教学材料归档管理;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12.调动研究生任课教师的教学积极性,支持和奖励教师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进行各种形式的教学改革，将有关教学成果纳入到本单位教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师教学和科研考核体系中。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第三章课程开设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第四条研究生课程设置应按照本学科研究生培养目标和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学位标准要求，注重课程体系设计与整体优化，突出学科水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平与我校特色；着力培养研究生的知识获取能力、批判性思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维能力、独立研究能力和解决实际问题能力。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第五条根据课程性质，研究生课程分为公共学位课、学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科基础课、专业课、选修课、补修课、培养环节等。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第六条学术学位研究生课程以创新能力培养为核心，注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重研究方法类、学术前沿类课程的开设；专业学位研究生课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程应针对其行业领域要求设置，重在研究生职业能力的培养。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第七条鼓励二级单位与企事业单位合作开发开设应用性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课程，加强案例教学，建设教学案例库，促进教学与实践有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机融合；鼓励教师采用课堂教学与在线教学的混合教学模式，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促进教育技术与教学改革的深度融合，积极申报国家和学校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在线课程建设项目，同时鼓励教师利用校级教学平台进行网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络公开课等适合研究生特点的教学活动；鼓励教师开设全英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文课程。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第八条原则上在培养方案修（制）订前不增加新课程。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确需开设新课程，二级单位须在上一学期向研究生院申报。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经审核批准后，二级单位方可在下一学期安排开课。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新增硕士点、博士点(包括自主设置)学科专业的课程设置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应在招收研究生入学前一个学期报研究生院审核。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第九条凡列入培养方案的课程，任课教师或课程负责人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应在中南大学研究生教育管理信息系统（以下简称系统）提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交《中南大学研究生课程教学大纲》，并及时更新有关内容。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未按时提交者，二级单位不得安排上课。为保证研究生课程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教学质量和课程本身的稳定性，每门学位课程原则上应成立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课程教学小组。杜绝因人设课。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第十条课内学时学分的计算办法:讲课、讨论每16 学时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计算为1 学分；实验、实习每32 学时计算为1 学分。总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学时为讲课、讨论学时与实验、实习折半后学时之和。原则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上每门课程课内不超过48 学时，最多不得超过64 学时。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第十一条开课单位应严格按照培养方案课程设置开设要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求，每学期在学校规定的时间内落实相应课程的教学任务。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第十二条根据培养方案课程设置规定的学时数安排课表。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研究生院负责公共课课表安排,二级单位负责专业课课表安排。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课表应在每学期开学前两周上网公布。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每门课程每周不超过8 学时，原则上不得4 学时连排。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临床医学、口腔医学硕士专业学位研究生进入临床训练后，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开课单位不得在周一至周五的工作时间安排上课。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第十三条根据课程性质和研究生特点，课内学时的教学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方式可灵活多样，讲授、研讨、导读、案例教学、课堂汇报、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上机、实验、野外调查、户外拓展等，但任课教师必须在场。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自学、查阅资料、写论文（作业）、调研等不得列入课内学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时。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第十四条原则上博士生课程选课人数不低于3 人（含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3 人），硕士生课程选课人数不低于10 人（含10 人）。低于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规定人数要求的课程当学期停开，与下一年级同时开课（因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专业招生人数少而低于此规定的课程除外）。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第十五条为保证教学效果，同一任课教师在同一学期内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独立承担的研究生课程原则上不超过2 门（承担全校性公共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课的任课教师可适当增加）。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第十六条倡导新、老教师结对制度，充分发挥教学经验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丰富教师的传、帮、带作用。鼓励任课教师进行团队授课，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或合作开发、开设新课程。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第十七条所有纳入培养方案的课程必须按时开出并面向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全校研究生开放。个别课程如因师资力量有限，或课程预备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知识的要求，可限额接受选课人数。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第四章任课教师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第十八条任课教师应具有高级专业技术职称或具有研究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生指导教师资格，并具有丰富的教学、科研工作经验和认真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的教学态度。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第十九条除外语类课程外，原则上讲师职称的教师不得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讲授研究生课程。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第二十条外聘教师的任职资格参照第十八条执行，由所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聘二级单位负责审核，外籍教师需报国际合作与交流处审批。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二级单位将拟外聘人员名单报研究生院备案。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第二十一条任课教师必须遵照并执行《中南大学教师课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堂教学行为规范》。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第二十二条任课教师应按照教学管理部门有关要求，认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真做好课堂考勤、阶段考核、考试安排与组织、成绩录入、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教学评估以及课程考核原始资料交存等管理工作。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第二十三条初次讲授研究生课程的教师，须对具有关键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性、代表性的教学内容进行不少于2 学时的试讲。二级单位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组织3-5 位相关专家进行试讲评审，并对该课程的目标定位、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适用对象、课程内容、教学设计、考核方式、预期教学效果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等方面进行全面审查，通过试讲和审核后方可正式授课。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第二十四条对于累计2 次教学评估不合格的教师，学校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停止其承担该教学任务资格一年，一年后试讲通过后方能重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新上课。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第二十五条选用优秀的国内外教材。对于专业学位研究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生课程，有专业学位全国教育指导委员会推荐教材的原则上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采用推荐教材进行授课。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第二十六条编写适用于研究生教学的高质量的课程讲义、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案例、专著或教材；积极参加学校、教育主管部门研究生教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育用书遴选的申报。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第二十七条严格按照课表上的时间、地点上课，不可擅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自变动。因特殊情况（如生病、出国参加重要国际会议、参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加上级主管部门召开的会议等），任课教师需提前3 天填报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《中南大学研究生课程调课申请表》并附相关证明材料，经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研究生院审批后方可调课。任课教师需将调课变化情况及时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通知到上课研究生。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未经书面申请或未经批准，任课教师不得随意调、停课或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由他人代课。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第二十八条因任课教师责任造成教学秩序混乱、教学质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量低下等情况，研究生院按照《中南大学研究生教学事故认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定与处理办法》进行处理。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第五章课程学习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第二十九条新生根据所在学科培养方案要求，在导师或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导师组指导下制定个人培养计划（含课程学习、培养环节、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补修课），并在开学后2 周内录入系统中。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第三十条个人培养计划制定后原则上不能修改，研究生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从系统中导出并打印个人培养计划表，签名后交研究生助理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备案。因转专业、课程停开或其他特殊原因需调整课程，研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究生须填写《中南大学研究生个人培养计划调整表》，交研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究生助理备案。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第三十一条以同等学力或跨一级学科考取的博（硕）士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研究生，在制定个人培养计划的同时需制定《中南大学研究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生补修课程计划表》。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第三十二条研究生应严格按照已制定的个人培养计划表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在系统中进行学期选课，要注意核对课程编号与选课班级。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未在系统中选课的研究生不得参加考试。未完成个人培养计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划者不得申请学位论文答辩。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第三十三条因特殊情况未选课，研究生填写《中南大学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研究生加（减）课程申请单》。研究生助理酌情处理。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第三十四条研究生助理从系统中打印《中南大学研究生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学期选课确认表》，研究生本人核实、签名后交研究生助理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备案。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第三十五条研究生须全程参与课程教学过程，未请假以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旷课论处。缺课（含请假）超过课内学时1/3 者，取消参加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该课程考核资格。旷课情节严重者，按照《中南大学研究生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学籍管理规定》予以处理。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第三十六条研究生确需到校外单位（必须为国内、国外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高水平的高校或科研机构）学习课程，提交《中南大学选修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外校研究生课程申请表》，经研究生院审批同意方可开展相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关学习。课程修读结束后，研究生提供学习成绩证明原件以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及《中南大学研究生校（国）外成绩转换申请表》。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未申请或未经批准自行在校外单位选修的课程成绩不予认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可。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第三十七条研究生取得国内外高校研究生慕课（MOOC，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massive open online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courses）、研究生创新计划项目暑期学校等成绩合格证的，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学校认可成绩和学分。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第三十八条学位课程考核不及格必须重修；选修课程考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核不及格原则上应当重修，特殊情况经导师同意，可改修其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他课程。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第三十九条研究生因病（持二级甲等以上医院的证明）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或不可抗力等特殊原因不能按时参加有关课程（含培养环节）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考核时，须在课程考试前提交《中南大学研究生缓考申请表》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，按照表中程序办理缓考手续。缓考需随下一年级研究生同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堂同卷考试，不单独组织。不得以出差、做课题等理由申请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缓考。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第六章考试组织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第四十条所有课程（含培养环节）均需通过考核才能取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得相应的成绩。考核分为考试和考查两种，原则上要求采用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考试的方式。考试可以实行笔试（开卷、闭卷）、口试或口、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笔试结合等多种方式。社会调查、教学实践、专题讨论、文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献综述等教学环节以及部分实验课、选修课、补修课等可采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用考查的方式。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第四十一条公共学位课程考核由研究生院负责组织与安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排，相关公共课开课单位及研究生选课人数较多的二级单位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协助做好有关考务工作。其他课程（含培养环节）考核由开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课二级单位负责组织与安排。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第四十二条二级单位须在课程结束前两周内在网上公布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考试安排。考试安排一经公布，不得随意变更。确需调整的，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要及时做好通知工作。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第四十三条考试按标准化考场安排座位。每个考场要有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两名监考人员，60 人以上的考场需增加一名监考人员，且监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考人员须为本校正式职工。有任课教师作为监考人员时由任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课教师担任主监考。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第四十四条监考人员应严格按照《中南大学研究生课程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考试监考须知》履行有关职责，防止和制止考试违纪现象的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发生。一旦发现研究生考试违纪，监考人员需取证并填写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《中南大学研究生考试违纪情况记录表》，及时报告考场违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纪处理负责人或有关单位负责人，按照《中南大学学生违纪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处分条例》进行处理。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第四十五条主管校领导、学位与研究生教育督导员、研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究生院及研究生工作部应对全校考场情况进行巡视。二级单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位负责本单位考场情况的巡视，发现异常情况按有关规定及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时处理并报告研究生院。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第七章命题与保密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第四十六条开课单位负责命题。试卷采用研究生院制定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的统一版式。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第四十七条二级单位应建立试题库，逐步实行“考教分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离”考试。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第四十八条命题教师应树立科学的研究生教育质量观，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突出研究生能力考核和长远发展，并严格按照教学大纲的要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求进行命题。试题要有一定的深度和广度、难易适度、份量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得当、分值分布合理、不得与近五年的试卷相同。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第四十九条实行全校统一考试的公共学位课程，开课单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位需准备难度相当、覆盖面相同的两套试卷（在命题的同时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做好评分细则和标准答案），由研究生院确定其中一套作为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考试用，另一套作为备用卷。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第五十条命题人员不得以电子邮件发送试题。试题接收、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印刷、保管、开考前发放等，开课单位应指定专人负责。所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有有关人员必须严格遵守保密规定，杜绝任何形式的泄密。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如发现试题泄密，按照《中南大学研究生教学事故认定与处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理办法》进行处理。负责人与研究生院签订试卷保密协议。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第五十一条以大型作业、小论文、读书报告、调查报告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等考核形式的课程，应有明确的题目且任课教师需强调有关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考核要求，严禁研究生照搬照抄、答卷雷同等。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第八章试卷评阅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第五十二条考试结束后2 周内，任课教师应完成试卷评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阅，并填写《中南大学研究生课程教学总结表》。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第五十三条统考课程要求统一密封考卷，尽量采用集中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分题评阅方式进行阅卷，由开课单位负责组织。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第五十四条评阅试卷时，阅卷教师应严格按试题评分标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准进行评分，不漏评、漏记、错评、错记和送分、加分。阅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卷一律使用红墨水笔或红色签字笔，记分数字必须清楚、工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整，客观题答题正确的打√，错误的打×，主观题根据评分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细则作出明确标记。阅卷教师在相应位置签名。分数如有变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更，阅卷教师要在改动位置签名。严禁涂抹、损坏试卷。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第五十五条评阅以大型作业、小论文、读书报告、调查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报告等作为课程考核方式的试卷材料时，阅卷教师应结合答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卷的观点、内容、结构、语言等方面作出综合评价。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第五十六条进行口试考试时，要有师生口试记录和教师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评语。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第九章成绩管理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第五十七条实行考试方式的课程考核成绩以百分制记载。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实行考查方式的课程（含培养环节）考核成绩以百分制或等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  <w:vertAlign w:val="baseline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级制记载。具体对应关系列表如下：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百分制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28"/>
                <w:szCs w:val="28"/>
              </w:rPr>
              <w:t>100</w:t>
            </w:r>
            <w:r>
              <w:rPr>
                <w:rFonts w:hint="eastAsia" w:ascii="仿宋-WinCharSetFFFF-H" w:hAnsi="仿宋-WinCharSetFFFF-H" w:eastAsia="仿宋-WinCharSetFFFF-H"/>
                <w:sz w:val="28"/>
                <w:szCs w:val="28"/>
              </w:rPr>
              <w:t>—</w:t>
            </w:r>
            <w:r>
              <w:rPr>
                <w:rFonts w:hint="eastAsia" w:ascii="TimesNewRoman" w:hAnsi="TimesNewRoman" w:eastAsia="TimesNewRoman"/>
                <w:sz w:val="28"/>
                <w:szCs w:val="28"/>
              </w:rPr>
              <w:t>90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89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85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84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82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81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78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77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75</w:t>
            </w: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74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等级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A+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A-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B+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B-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绩点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3.7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3.3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3.0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2.7</w:t>
            </w: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2.3</w:t>
            </w:r>
          </w:p>
        </w:tc>
      </w:tr>
    </w:tbl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百分制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71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68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67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63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6</w:t>
            </w:r>
            <w:r>
              <w:rPr>
                <w:rFonts w:hint="eastAsia" w:ascii="TimesNewRoman" w:hAnsi="TimesNewRoman" w:eastAsia="TimesNewRoman"/>
                <w:sz w:val="30"/>
                <w:lang w:val="en-US" w:eastAsia="zh-CN"/>
              </w:rPr>
              <w:t>2</w:t>
            </w:r>
            <w:r>
              <w:rPr>
                <w:rFonts w:hint="eastAsia" w:ascii="TimesNewRoman" w:hAnsi="TimesNewRoman" w:eastAsia="TimesNewRoman"/>
                <w:sz w:val="30"/>
              </w:rPr>
              <w:t>—60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TimesNewRoman" w:hAnsi="TimesNewRoman" w:eastAsia="TimesNewRoman"/>
                <w:sz w:val="30"/>
              </w:rPr>
              <w:t>59</w:t>
            </w:r>
            <w:r>
              <w:rPr>
                <w:rFonts w:hint="eastAsia" w:ascii="仿宋-WinCharSetFFFF-H" w:hAnsi="仿宋-WinCharSetFFFF-H" w:eastAsia="仿宋-WinCharSetFFFF-H"/>
                <w:sz w:val="30"/>
              </w:rPr>
              <w:t>—</w:t>
            </w:r>
            <w:r>
              <w:rPr>
                <w:rFonts w:hint="eastAsia" w:ascii="TimesNewRoman" w:hAnsi="TimesNewRoman" w:eastAsia="TimesNewRoman"/>
                <w:sz w:val="30"/>
              </w:rPr>
              <w:t>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等级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C+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C-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eastAsia="zh-CN"/>
              </w:rPr>
              <w:t>绩点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2.0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1.5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265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widowControl w:val="0"/>
              <w:jc w:val="both"/>
              <w:rPr>
                <w:rFonts w:hint="eastAsia" w:ascii="仿宋_GB2312-WinCharSetFFFF-H" w:hAnsi="仿宋_GB2312-WinCharSetFFFF-H" w:eastAsia="仿宋_GB2312-WinCharSetFFFF-H"/>
                <w:sz w:val="32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第五十八条课程考核成绩可以平时成绩和考试成绩构成，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也可以卷面成绩为准。任课教师或课程负责人根据课程的类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型、性质、内容及特点自主确定平时成绩（阶段考试、随堂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测验、作业、读书报告、课堂讨论、出勤等）占总成绩的比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例（原则上不超过50%），在第一次上课时向研究生公布。相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同教学要求、教学进度的同一课程所有班级必须统一考核要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求。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第五十九条重修研究生的考核成绩以卷面成绩为准，缓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考研究生的考核成绩按参加考试当年该课程考核要求记载。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第六十条考试结束后2 周内应及时在系统上录入成绩。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同一课程由多名教师授课的，任课教师按所担任的班级录入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成绩；同一班级的同一课程由多名教师授课的，由排名第一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的任课教师录入成绩。录入完毕提交前，须仔细核对应参考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研究生名单及分数，切忌漏录或录入错误，核对无误后再点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击“最后确认”，一旦完成确认将无法修改成绩。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第六十一条特殊原因不能及时录入成绩的课程，任课教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师应事先填写《中南大学研究生成绩单逾期递交申请表》，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负责人签署意见后交研究生助理备案。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第六十二条成绩单、试题、研究生答卷、过程考核的相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关辅证材料等应在考试结束后15 个工作日内一并送交给研究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生助理。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第六十三条无特殊情况逾期未在网上录入成绩和未按照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第六十二条规定要求送交材料，按照《中南大学研究生教学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事故认定与处理办法》处理，追究当事人责任。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第六十四条培养环节的考核成绩以及外聘教师授课的课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程考核成绩由研究生助理及时录入。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第六十五条以同等学力或跨一级学科考取的博（硕）士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研究生补修课成绩单独记载在《中南大学研究生补修课成绩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单》，不计入培养方案规定的总学分。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第六十六条研究生对考试成绩有疑义，应在成绩上网公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布后一个月内（节假日顺延，逾期不受理）向开课单位研究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生助理提交书面查分复核申请，10 个工作日内上网查看结果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或咨询研究生助理。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第六十七条经核实确需补录、更改研究生成绩，任课教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师填写《中南大学研究生成绩补录、修改申请表》，并在试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卷和原始成绩单上进行更正后签名，经负责人签字同意后并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在改动部分加盖开课单位行政公章，提交研究生院审核确定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是否予以网上补录或更改成绩。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第十章教学档案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第六十八条教学档案包括培养方案、教学大纲、试题或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课程论文题目、试题评分标准和参考答案、研究生答卷（笔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试试卷、口试记录、课程论文、读书报告、研究报告等纸质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版）、平时成绩原始记录、成绩单、课程教学总结表、成绩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分析表、考试签名单等。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第六十九条各类教学材料的存档应签字盖章齐全、材料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完整、页面整洁、严禁涂改。原则上要求所有考核材料必须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有纸质版，无纸质版的须将电子版数据刻录成光盘。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第七十条成绩单须永久保存，研究生院、开课二级单位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各存1 份。其它材料由开课单位负责保存，保存期限为7 年。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第七十一条每年的4 月30 日、10 月30 日以前，二级单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位应将上一学期的成绩单按照博士研究生、学术学位硕士研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究生、专业学位硕士研究生类别以课程编号为序分别汇总，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交研究生院备案。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第十一章教学检查与评价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第七十二条研究生院应定期对研究生课程教学管理情况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进行检查与评估，包括对课程教学秩序、课程授课质量、教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学管理规范、课程考核与考试组织、档案材料管理等方面。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在检查过程中发现异常情况按照《中南大学研究生教学事故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认定与处理办法》进行处理。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第七十三条二级单位应定期对本单位的教学管理情况进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行检查，发现情况应及时处理，重要情况向研究生院汇报。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第七十四条建立以研究生网上评教、学位与研究生教育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督导员评教为主，任课教师自评、同行评价及管理人员评价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为辅的教学检查、评价与反馈机制。学位与研究生教育督导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员可采用随堂听课、座谈会、问卷调查等多种方式进行研究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生课程教学情况检查，了解研究生对课程教学的反馈意见，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并及时将结果反馈任课教师或二级单位、研究生院，以改进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和提高教学质量。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第七十五条研究生院将定期对纳入培养方案的所有课程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进行评估。评估合格的课程可继续开设；连续2 年未开课、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课程定位不准、课程内容重复度较大、选课人数与实际招生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人数严重不符、教学评估不合格等的课程应在修订培养方案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时予以取消。评估结果可作为学校对二级单位绩效考核的重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要依据之一。</w:t>
      </w:r>
    </w:p>
    <w:p>
      <w:pPr>
        <w:spacing w:beforeLines="0" w:afterLines="0"/>
        <w:jc w:val="left"/>
        <w:rPr>
          <w:rFonts w:hint="eastAsia" w:ascii="黑体-WinCharSetFFFF-H" w:hAnsi="黑体-WinCharSetFFFF-H" w:eastAsia="黑体-WinCharSetFFFF-H"/>
          <w:sz w:val="32"/>
        </w:rPr>
      </w:pPr>
      <w:r>
        <w:rPr>
          <w:rFonts w:hint="eastAsia" w:ascii="黑体-WinCharSetFFFF-H" w:hAnsi="黑体-WinCharSetFFFF-H" w:eastAsia="黑体-WinCharSetFFFF-H"/>
          <w:sz w:val="32"/>
        </w:rPr>
        <w:t>第十二章附则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第七十六条本文所列出的全部表格可在研究生院网页上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下载。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第七十七条本办法自颁布之日起十五日后施行，由研究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生院负责解释。《中南大学课程管理规定》（中大研字</w:t>
      </w: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〔2006〕36 号）、《中南大学研究生课程考核管理办法》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  <w:r>
        <w:rPr>
          <w:rFonts w:hint="eastAsia" w:ascii="仿宋_GB2312-WinCharSetFFFF-H" w:hAnsi="仿宋_GB2312-WinCharSetFFFF-H" w:eastAsia="仿宋_GB2312-WinCharSetFFFF-H"/>
          <w:sz w:val="32"/>
        </w:rPr>
        <w:t>（中大研字〔2013〕2 号）同时废止。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p>
      <w:pPr>
        <w:spacing w:beforeLines="0" w:afterLines="0"/>
        <w:jc w:val="left"/>
        <w:rPr>
          <w:rFonts w:hint="eastAsia" w:ascii="仿宋_GB2312-WinCharSetFFFF-H" w:hAnsi="仿宋_GB2312-WinCharSetFFFF-H" w:eastAsia="仿宋_GB2312-WinCharSetFFFF-H"/>
          <w:sz w:val="28"/>
          <w:u w:val="single"/>
        </w:rPr>
      </w:pPr>
      <w:r>
        <w:rPr>
          <w:rFonts w:hint="eastAsia" w:ascii="仿宋_GB2312-WinCharSetFFFF-H" w:hAnsi="仿宋_GB2312-WinCharSetFFFF-H" w:eastAsia="仿宋_GB2312-WinCharSetFFFF-H"/>
          <w:sz w:val="28"/>
          <w:u w:val="single"/>
        </w:rPr>
        <w:t>抄送：各二级党组织、党群部门。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  <w:u w:val="single"/>
        </w:rPr>
      </w:pPr>
      <w:r>
        <w:rPr>
          <w:rFonts w:hint="eastAsia" w:ascii="仿宋_GB2312-WinCharSetFFFF-H" w:hAnsi="仿宋_GB2312-WinCharSetFFFF-H" w:eastAsia="仿宋_GB2312-WinCharSetFFFF-H"/>
          <w:sz w:val="28"/>
          <w:u w:val="single"/>
        </w:rPr>
        <w:t>中南大学办公室主动公开2016 年11 月28 日印发</w:t>
      </w:r>
    </w:p>
    <w:p>
      <w:pPr>
        <w:jc w:val="both"/>
        <w:rPr>
          <w:rFonts w:hint="eastAsia" w:ascii="仿宋_GB2312-WinCharSetFFFF-H" w:hAnsi="仿宋_GB2312-WinCharSetFFFF-H" w:eastAsia="仿宋_GB2312-WinCharSetFFFF-H"/>
          <w:sz w:val="32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8B10D1"/>
    <w:rsid w:val="10412D98"/>
    <w:rsid w:val="282934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2017-02-23T09:21:00Z</dcterms:created>
  <dc:creator>Administrator</dc:creator>
  <cp:lastModifiedBy>dell</cp:lastModifiedBy>
  <dcterms:modified xsi:type="dcterms:W3CDTF">2017-02-24T00:24:33Z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