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after="156" w:afterLines="50" w:line="340" w:lineRule="exact"/>
        <w:rPr>
          <w:rFonts w:ascii="仿宋_GB2312" w:hAnsi="宋体" w:eastAsia="仿宋_GB2312" w:cs="Times New Roman"/>
          <w:color w:val="000000"/>
          <w:kern w:val="0"/>
          <w:sz w:val="32"/>
          <w:szCs w:val="24"/>
        </w:rPr>
      </w:pP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24"/>
        </w:rPr>
        <w:t>附件2：</w:t>
      </w:r>
      <w:r>
        <w:rPr>
          <w:rFonts w:hint="eastAsia" w:ascii="方正小标宋简体" w:hAnsi="宋体" w:eastAsia="方正小标宋简体" w:cs="Times New Roman"/>
          <w:color w:val="000000"/>
          <w:kern w:val="0"/>
          <w:sz w:val="36"/>
          <w:szCs w:val="36"/>
        </w:rPr>
        <w:t>2016年校级奖励金学生奖推荐名额分配表</w:t>
      </w:r>
    </w:p>
    <w:p>
      <w:pPr>
        <w:spacing w:line="300" w:lineRule="exact"/>
        <w:jc w:val="left"/>
        <w:rPr>
          <w:rFonts w:ascii="黑体" w:hAnsi="宋体" w:eastAsia="黑体" w:cs="Times New Roman"/>
          <w:color w:val="000000"/>
          <w:spacing w:val="-6"/>
          <w:kern w:val="0"/>
          <w:sz w:val="30"/>
          <w:szCs w:val="21"/>
        </w:rPr>
      </w:pPr>
      <w:r>
        <w:rPr>
          <w:rFonts w:hint="eastAsia" w:ascii="黑体" w:hAnsi="宋体" w:eastAsia="黑体" w:cs="Times New Roman"/>
          <w:b/>
          <w:color w:val="000000"/>
          <w:kern w:val="0"/>
          <w:sz w:val="30"/>
          <w:szCs w:val="21"/>
        </w:rPr>
        <w:t>一、</w:t>
      </w:r>
      <w:r>
        <w:rPr>
          <w:rFonts w:hint="eastAsia" w:ascii="黑体" w:hAnsi="宋体" w:eastAsia="黑体" w:cs="Times New Roman"/>
          <w:b/>
          <w:color w:val="FF0000"/>
          <w:kern w:val="0"/>
          <w:sz w:val="30"/>
          <w:szCs w:val="21"/>
        </w:rPr>
        <w:t>本</w:t>
      </w:r>
      <w:r>
        <w:rPr>
          <w:rFonts w:hint="eastAsia" w:ascii="黑体" w:hAnsi="宋体" w:eastAsia="黑体" w:cs="Times New Roman"/>
          <w:b/>
          <w:color w:val="FF0000"/>
          <w:spacing w:val="-6"/>
          <w:kern w:val="0"/>
          <w:sz w:val="30"/>
          <w:szCs w:val="21"/>
        </w:rPr>
        <w:t>科生</w:t>
      </w:r>
      <w:r>
        <w:rPr>
          <w:rFonts w:hint="eastAsia" w:ascii="黑体" w:hAnsi="宋体" w:eastAsia="黑体" w:cs="Times New Roman"/>
          <w:b/>
          <w:color w:val="000000"/>
          <w:spacing w:val="-6"/>
          <w:kern w:val="0"/>
          <w:sz w:val="30"/>
          <w:szCs w:val="21"/>
        </w:rPr>
        <w:t>推荐名额</w:t>
      </w:r>
      <w:bookmarkStart w:id="6" w:name="_GoBack"/>
      <w:bookmarkEnd w:id="6"/>
    </w:p>
    <w:tbl>
      <w:tblPr>
        <w:tblStyle w:val="11"/>
        <w:tblW w:w="927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371"/>
        <w:gridCol w:w="441"/>
        <w:gridCol w:w="456"/>
        <w:gridCol w:w="456"/>
        <w:gridCol w:w="456"/>
        <w:gridCol w:w="456"/>
        <w:gridCol w:w="456"/>
        <w:gridCol w:w="456"/>
        <w:gridCol w:w="456"/>
        <w:gridCol w:w="426"/>
        <w:gridCol w:w="456"/>
        <w:gridCol w:w="456"/>
        <w:gridCol w:w="456"/>
        <w:gridCol w:w="456"/>
        <w:gridCol w:w="4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OLE_LINK3"/>
            <w:r>
              <w:rPr>
                <w:rFonts w:hint="eastAsia" w:ascii="宋体" w:hAnsi="宋体" w:cs="宋体"/>
                <w:kern w:val="0"/>
                <w:szCs w:val="21"/>
              </w:rPr>
              <w:t>二级单位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宝钢教育奖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蒋维英助学金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茅以升铁路教育专项奖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钻石奖学金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山河英才一等奖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山河英才二等奖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米塔尔奖学金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黄培云教育奖励金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鑫恒教育奖励金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华东有色一等奖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华东有色二等奖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世纪海翔一等奖学金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世纪海翔二等奖学金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世纪海翔酬勤助学金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比亚迪奖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文学与新闻传播学院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外国语学院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建筑与艺术学院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商学院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50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法学院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马克思主义学院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公共管理学院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数学与统计学院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物理与电子学院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化学化工学院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机电工程学院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FF0000"/>
                <w:spacing w:val="-20"/>
                <w:sz w:val="18"/>
                <w:szCs w:val="18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FF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FF0000"/>
                <w:spacing w:val="-20"/>
                <w:sz w:val="18"/>
                <w:szCs w:val="18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FF0000"/>
                <w:spacing w:val="-20"/>
                <w:sz w:val="18"/>
                <w:szCs w:val="18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FF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FF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FF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FF0000"/>
                <w:spacing w:val="-2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FF0000"/>
                <w:spacing w:val="-2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能源科学与工程学院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材料科学与工程学院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粉末冶金研究院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交通运输工程学院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土木工程学院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冶金与环境学院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地球科学与信息物理学院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资源与安全工程学院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资源加工与生物工程学院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信息科学与工程学院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基础医学院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湘雅公共卫生学院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湘雅护理学院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口腔医学院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药学院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体育教研部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生命科学学院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软件学院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航空航天学院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湘雅医学院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    计：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66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40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34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111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60</w:t>
            </w:r>
          </w:p>
        </w:tc>
      </w:tr>
      <w:bookmarkEnd w:id="0"/>
    </w:tbl>
    <w:p>
      <w:pPr>
        <w:spacing w:line="260" w:lineRule="atLeast"/>
        <w:ind w:left="-496" w:leftChars="-236" w:firstLine="738" w:firstLineChars="350"/>
        <w:rPr>
          <w:rFonts w:ascii="仿宋_GB2312" w:hAnsi="Times New Roman" w:eastAsia="仿宋_GB2312" w:cs="Times New Roman"/>
          <w:b/>
          <w:color w:val="000000"/>
          <w:kern w:val="0"/>
          <w:szCs w:val="21"/>
        </w:rPr>
      </w:pPr>
    </w:p>
    <w:p>
      <w:pPr>
        <w:spacing w:line="260" w:lineRule="atLeast"/>
        <w:ind w:left="-496" w:leftChars="-236" w:firstLine="738" w:firstLineChars="350"/>
        <w:rPr>
          <w:rFonts w:ascii="仿宋_GB2312" w:hAnsi="Times New Roman" w:eastAsia="仿宋_GB2312" w:cs="Times New Roman"/>
          <w:b/>
          <w:color w:val="000000"/>
          <w:kern w:val="0"/>
          <w:szCs w:val="21"/>
        </w:rPr>
      </w:pPr>
    </w:p>
    <w:p>
      <w:pPr>
        <w:spacing w:line="260" w:lineRule="atLeast"/>
        <w:ind w:left="-496" w:leftChars="-236" w:firstLine="738" w:firstLineChars="350"/>
        <w:rPr>
          <w:rFonts w:ascii="仿宋_GB2312" w:hAnsi="Times New Roman" w:eastAsia="仿宋_GB2312" w:cs="Times New Roman"/>
          <w:b/>
          <w:color w:val="000000"/>
          <w:kern w:val="0"/>
          <w:szCs w:val="21"/>
        </w:rPr>
      </w:pPr>
    </w:p>
    <w:tbl>
      <w:tblPr>
        <w:tblStyle w:val="11"/>
        <w:tblW w:w="100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1" w:name="OLE_LINK4"/>
            <w:r>
              <w:rPr>
                <w:rFonts w:hint="eastAsia" w:ascii="宋体" w:hAnsi="宋体" w:cs="宋体"/>
                <w:kern w:val="0"/>
                <w:szCs w:val="21"/>
              </w:rPr>
              <w:t>二级单位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新华联A类助学金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新华联B类助学金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东岭集团奖学金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屈原奖学金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中矿地质奖特等奖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中矿地质奖一等奖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中矿地质奖二等奖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中矿地质奖助学金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华为奖学金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蔡田碹珠奖励基金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章源钨业奖学金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黄乾亨基金奖学金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黄乾亨基金助学金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陈国达奖一等奖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陈国达奖二等奖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中国电信奖学金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中国电信助学金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文学与新闻传播学院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外国语学院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建筑与艺术学院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</w:tblPrEx>
        <w:trPr>
          <w:trHeight w:val="284" w:hRule="atLeast"/>
          <w:jc w:val="center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马克思主义学院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公共管理学院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数学与统计学院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物理与电子学院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化学化工学院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</w:tblPrEx>
        <w:trPr>
          <w:trHeight w:val="284" w:hRule="atLeast"/>
          <w:jc w:val="center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机电工程学院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能源科学与工程学院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材料科学与工程学院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粉末冶金研究院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交通运输工程学院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土木工程学院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Layout w:type="fixed"/>
        </w:tblPrEx>
        <w:trPr>
          <w:trHeight w:val="284" w:hRule="atLeast"/>
          <w:jc w:val="center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冶金与环境学院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地球科学与信息物理学院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资源与安全工程学院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资源加工与生物工程学院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信息科学与工程学院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基础医学院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</w:tblPrEx>
        <w:trPr>
          <w:trHeight w:val="284" w:hRule="atLeast"/>
          <w:jc w:val="center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湘雅公共卫生学院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湘雅护理学院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口腔医学院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体育教研部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生命科学学院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Layout w:type="fixed"/>
        </w:tblPrEx>
        <w:trPr>
          <w:trHeight w:val="284" w:hRule="atLeast"/>
          <w:jc w:val="center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软件学院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航空航天学院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湘雅医学院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    计：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</w:t>
            </w:r>
          </w:p>
        </w:tc>
      </w:tr>
      <w:bookmarkEnd w:id="1"/>
    </w:tbl>
    <w:p>
      <w:pPr>
        <w:spacing w:line="260" w:lineRule="atLeast"/>
        <w:ind w:left="-496" w:leftChars="-236" w:firstLine="735" w:firstLineChars="350"/>
        <w:rPr>
          <w:rFonts w:ascii="仿宋_GB2312" w:hAnsi="Times New Roman" w:eastAsia="仿宋_GB2312" w:cs="Times New Roman"/>
          <w:color w:val="000000"/>
          <w:kern w:val="0"/>
          <w:szCs w:val="21"/>
        </w:rPr>
      </w:pPr>
    </w:p>
    <w:p>
      <w:pPr>
        <w:spacing w:line="260" w:lineRule="atLeast"/>
        <w:ind w:left="-496" w:leftChars="-236" w:firstLine="735" w:firstLineChars="350"/>
        <w:rPr>
          <w:rFonts w:ascii="仿宋_GB2312" w:hAnsi="Times New Roman" w:eastAsia="仿宋_GB2312" w:cs="Times New Roman"/>
          <w:color w:val="000000"/>
          <w:kern w:val="0"/>
          <w:szCs w:val="21"/>
        </w:rPr>
      </w:pPr>
    </w:p>
    <w:p>
      <w:pPr>
        <w:spacing w:line="260" w:lineRule="atLeast"/>
        <w:ind w:left="-496" w:leftChars="-236" w:firstLine="735" w:firstLineChars="350"/>
        <w:rPr>
          <w:rFonts w:ascii="仿宋_GB2312" w:hAnsi="Times New Roman" w:eastAsia="仿宋_GB2312" w:cs="Times New Roman"/>
          <w:color w:val="000000"/>
          <w:kern w:val="0"/>
          <w:szCs w:val="21"/>
        </w:rPr>
      </w:pPr>
    </w:p>
    <w:p>
      <w:pPr>
        <w:spacing w:line="260" w:lineRule="atLeast"/>
        <w:ind w:left="-496" w:leftChars="-236" w:firstLine="735" w:firstLineChars="350"/>
        <w:rPr>
          <w:rFonts w:ascii="仿宋_GB2312" w:hAnsi="Times New Roman" w:eastAsia="仿宋_GB2312" w:cs="Times New Roman"/>
          <w:color w:val="000000"/>
          <w:kern w:val="0"/>
          <w:szCs w:val="21"/>
        </w:rPr>
      </w:pPr>
    </w:p>
    <w:p>
      <w:pPr>
        <w:spacing w:line="260" w:lineRule="atLeast"/>
        <w:ind w:left="-496" w:leftChars="-236" w:firstLine="735" w:firstLineChars="350"/>
        <w:rPr>
          <w:rFonts w:ascii="仿宋_GB2312" w:hAnsi="Times New Roman" w:eastAsia="仿宋_GB2312" w:cs="Times New Roman"/>
          <w:color w:val="000000"/>
          <w:kern w:val="0"/>
          <w:szCs w:val="21"/>
        </w:rPr>
      </w:pPr>
    </w:p>
    <w:tbl>
      <w:tblPr>
        <w:tblStyle w:val="11"/>
        <w:tblW w:w="97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456"/>
        <w:gridCol w:w="456"/>
        <w:gridCol w:w="456"/>
        <w:gridCol w:w="421"/>
        <w:gridCol w:w="567"/>
        <w:gridCol w:w="444"/>
        <w:gridCol w:w="431"/>
        <w:gridCol w:w="518"/>
        <w:gridCol w:w="474"/>
        <w:gridCol w:w="517"/>
        <w:gridCol w:w="439"/>
        <w:gridCol w:w="426"/>
        <w:gridCol w:w="448"/>
        <w:gridCol w:w="483"/>
        <w:gridCol w:w="6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2" w:name="OLE_LINK5"/>
            <w:r>
              <w:rPr>
                <w:rFonts w:hint="eastAsia" w:ascii="宋体" w:hAnsi="宋体" w:cs="宋体"/>
                <w:kern w:val="0"/>
                <w:szCs w:val="21"/>
              </w:rPr>
              <w:t>二级单位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联邦一等奖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联邦二等奖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烟台万华奖学金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FMG奖学金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顺丰助学金</w:t>
            </w: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汇顶奖学金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铜冠助学金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卢惠霖奖励金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海顺新材奖励金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魏桥铝电奖学金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未名奖学金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鑫迪科技奖学金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国民信和奖学金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懋天奖学金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szCs w:val="21"/>
              </w:rPr>
              <w:t>小  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文学与新闻传播学院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外国语学院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建筑与艺术学院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</w:tr>
      <w:tr>
        <w:tblPrEx>
          <w:tblLayout w:type="fixed"/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商学院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法学院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马克思主义学院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公共管理学院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数学与统计学院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物理与电子学院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</w:tr>
      <w:tr>
        <w:tblPrEx>
          <w:tblLayout w:type="fixed"/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化学化工学院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机电工程学院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5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能源科学与工程学院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材料科学与工程学院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粉末冶金研究院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交通运输工程学院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</w:t>
            </w:r>
          </w:p>
        </w:tc>
      </w:tr>
      <w:tr>
        <w:tblPrEx>
          <w:tblLayout w:type="fixed"/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土木工程学院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冶金与环境学院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地球科学与信息物理学院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资源与安全工程学院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资源加工与生物工程学院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信息科学与工程学院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67</w:t>
            </w:r>
          </w:p>
        </w:tc>
      </w:tr>
      <w:tr>
        <w:tblPrEx>
          <w:tblLayout w:type="fixed"/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基础医学院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湘雅公共卫生学院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湘雅护理学院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口腔医学院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药学院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体育教研部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</w:tr>
      <w:tr>
        <w:tblPrEx>
          <w:tblLayout w:type="fixed"/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生命科学学院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软件学院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航空航天学院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湘雅医学院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    计：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1285</w:t>
            </w:r>
          </w:p>
        </w:tc>
      </w:tr>
      <w:bookmarkEnd w:id="2"/>
    </w:tbl>
    <w:p>
      <w:pPr>
        <w:spacing w:line="260" w:lineRule="atLeast"/>
        <w:ind w:left="977" w:leftChars="114" w:hanging="738" w:hangingChars="350"/>
        <w:rPr>
          <w:rFonts w:ascii="仿宋_GB2312" w:hAnsi="Times New Roman" w:eastAsia="仿宋_GB2312" w:cs="Times New Roman"/>
          <w:b/>
          <w:color w:val="000000"/>
          <w:kern w:val="0"/>
          <w:szCs w:val="21"/>
        </w:rPr>
      </w:pPr>
    </w:p>
    <w:p>
      <w:pPr>
        <w:spacing w:line="260" w:lineRule="atLeast"/>
        <w:ind w:left="976" w:leftChars="51" w:hanging="869" w:hangingChars="412"/>
        <w:rPr>
          <w:rFonts w:ascii="仿宋_GB2312" w:hAnsi="Times New Roman" w:eastAsia="仿宋_GB2312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b/>
          <w:color w:val="000000"/>
          <w:kern w:val="0"/>
          <w:szCs w:val="21"/>
        </w:rPr>
        <w:t>注：</w:t>
      </w:r>
      <w:r>
        <w:rPr>
          <w:rFonts w:hint="eastAsia" w:ascii="仿宋_GB2312" w:hAnsi="Times New Roman" w:eastAsia="仿宋_GB2312" w:cs="Times New Roman"/>
          <w:color w:val="000000"/>
          <w:kern w:val="0"/>
          <w:szCs w:val="21"/>
        </w:rPr>
        <w:t>汇</w:t>
      </w:r>
      <w:r>
        <w:rPr>
          <w:rFonts w:hint="eastAsia" w:ascii="仿宋_GB2312" w:hAnsi="Times New Roman" w:eastAsia="仿宋_GB2312" w:cs="Times New Roman"/>
          <w:color w:val="000000"/>
          <w:spacing w:val="-8"/>
          <w:kern w:val="0"/>
          <w:szCs w:val="21"/>
        </w:rPr>
        <w:t>顶科技奖学金按照120%下达名额为由深圳市汇顶科技股份有限公司自行评选并确定等级。</w:t>
      </w:r>
    </w:p>
    <w:p>
      <w:pPr>
        <w:widowControl/>
        <w:jc w:val="left"/>
        <w:rPr>
          <w:rFonts w:ascii="仿宋_GB2312" w:hAnsi="宋体" w:eastAsia="仿宋_GB2312" w:cs="宋体"/>
          <w:color w:val="000000"/>
          <w:spacing w:val="-14"/>
          <w:kern w:val="0"/>
          <w:sz w:val="18"/>
          <w:szCs w:val="18"/>
        </w:rPr>
        <w:sectPr>
          <w:headerReference r:id="rId3" w:type="default"/>
          <w:pgSz w:w="11906" w:h="16838"/>
          <w:pgMar w:top="1418" w:right="1644" w:bottom="1247" w:left="1644" w:header="851" w:footer="992" w:gutter="0"/>
          <w:cols w:space="720" w:num="1"/>
          <w:docGrid w:type="linesAndChars" w:linePitch="312" w:charSpace="0"/>
        </w:sectPr>
      </w:pPr>
    </w:p>
    <w:p>
      <w:pPr>
        <w:pageBreakBefore/>
        <w:rPr>
          <w:rFonts w:ascii="黑体" w:hAnsi="宋体" w:eastAsia="黑体" w:cs="Times New Roman"/>
          <w:color w:val="000000"/>
          <w:kern w:val="0"/>
          <w:sz w:val="30"/>
          <w:szCs w:val="21"/>
        </w:rPr>
      </w:pPr>
      <w:r>
        <w:rPr>
          <w:rFonts w:hint="eastAsia" w:ascii="黑体" w:hAnsi="Times New Roman" w:eastAsia="黑体" w:cs="Times New Roman"/>
          <w:color w:val="000000"/>
          <w:kern w:val="0"/>
          <w:sz w:val="30"/>
          <w:szCs w:val="24"/>
        </w:rPr>
        <w:t>二、</w:t>
      </w:r>
      <w:r>
        <w:rPr>
          <w:rFonts w:hint="eastAsia" w:ascii="黑体" w:hAnsi="Times New Roman" w:eastAsia="黑体" w:cs="Times New Roman"/>
          <w:color w:val="FF0000"/>
          <w:kern w:val="0"/>
          <w:sz w:val="30"/>
          <w:szCs w:val="24"/>
        </w:rPr>
        <w:t>硕士研究生</w:t>
      </w:r>
      <w:r>
        <w:rPr>
          <w:rFonts w:hint="eastAsia" w:ascii="黑体" w:hAnsi="Times New Roman" w:eastAsia="黑体" w:cs="Times New Roman"/>
          <w:color w:val="000000"/>
          <w:kern w:val="0"/>
          <w:sz w:val="30"/>
          <w:szCs w:val="24"/>
        </w:rPr>
        <w:t>推荐名额</w:t>
      </w:r>
    </w:p>
    <w:tbl>
      <w:tblPr>
        <w:tblStyle w:val="11"/>
        <w:tblW w:w="104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3"/>
        <w:gridCol w:w="429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bookmarkStart w:id="3" w:name="OLE_LINK6"/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二级单位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宝钢教育奖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钻石奖学金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米塔尔奖学金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黄培云教育奖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鑫恒教育奖励金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华东有色一等奖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华东有色二等奖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世纪海翔一等奖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世纪海翔二等奖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世纪海翔助学金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西北有色一等奖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西北有色二等奖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运动医学奖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比亚迪奖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东岭集团奖学金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中矿地质奖一等奖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中矿地质奖二等奖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  <w:t>中矿地质助学金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文学与新闻传播学院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外国语学院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建筑与艺术学院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商学院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259" w:hRule="atLeast"/>
          <w:jc w:val="center"/>
        </w:trPr>
        <w:tc>
          <w:tcPr>
            <w:tcW w:w="2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法学院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马克思主义学院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公共管理学院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数学与统计学院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物理与电子学院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化学化工学院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259" w:hRule="atLeast"/>
          <w:jc w:val="center"/>
        </w:trPr>
        <w:tc>
          <w:tcPr>
            <w:tcW w:w="2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bCs/>
                <w:color w:val="FF0000"/>
                <w:spacing w:val="-20"/>
                <w:sz w:val="22"/>
              </w:rPr>
            </w:pPr>
            <w:r>
              <w:rPr>
                <w:rFonts w:hint="eastAsia"/>
                <w:b/>
                <w:bCs/>
                <w:color w:val="FF0000"/>
                <w:spacing w:val="-20"/>
                <w:sz w:val="22"/>
              </w:rPr>
              <w:t>机电工程学院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能源科学与工程学院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材料科学与工程学院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粉末冶金研究院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交通运输工程学院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土木工程学院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259" w:hRule="atLeast"/>
          <w:jc w:val="center"/>
        </w:trPr>
        <w:tc>
          <w:tcPr>
            <w:tcW w:w="2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冶金与环境学院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地球科学与信息物理学院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资源与安全工程学院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资源加工与生物工程学院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信息科学与工程学院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基础医学院（生殖与干细胞工程研究中心）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259" w:hRule="atLeast"/>
          <w:jc w:val="center"/>
        </w:trPr>
        <w:tc>
          <w:tcPr>
            <w:tcW w:w="2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湘雅公共卫生学院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湘雅护理学院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口腔医学院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药学院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体育教研部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生命科学学院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259" w:hRule="atLeast"/>
          <w:jc w:val="center"/>
        </w:trPr>
        <w:tc>
          <w:tcPr>
            <w:tcW w:w="2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软件学院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航空航天学院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信息与网络中心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湘雅医学院（含医学检验系、湘雅国际转化医学联合研究院）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信息安全与大数据研究院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轻合金研究院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259" w:hRule="atLeast"/>
          <w:jc w:val="center"/>
        </w:trPr>
        <w:tc>
          <w:tcPr>
            <w:tcW w:w="2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湘雅医院（含临床药理研究所）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湘雅二医院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湘雅三医院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爱尔眼科学院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湘雅医学院附属海口医院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湘雅医学院附属肿瘤医院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259" w:hRule="atLeast"/>
          <w:jc w:val="center"/>
        </w:trPr>
        <w:tc>
          <w:tcPr>
            <w:tcW w:w="2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合    计：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</w:tr>
    </w:tbl>
    <w:p/>
    <w:p/>
    <w:bookmarkEnd w:id="3"/>
    <w:tbl>
      <w:tblPr>
        <w:tblStyle w:val="11"/>
        <w:tblW w:w="111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5"/>
        <w:gridCol w:w="425"/>
        <w:gridCol w:w="426"/>
        <w:gridCol w:w="426"/>
        <w:gridCol w:w="416"/>
        <w:gridCol w:w="384"/>
        <w:gridCol w:w="425"/>
        <w:gridCol w:w="471"/>
        <w:gridCol w:w="6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4" w:name="OLE_LINK7"/>
            <w:r>
              <w:rPr>
                <w:rFonts w:hint="eastAsia" w:ascii="宋体" w:hAnsi="宋体" w:cs="宋体"/>
                <w:kern w:val="0"/>
                <w:szCs w:val="21"/>
              </w:rPr>
              <w:t>二级单位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  <w:t>华为奖学金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蔡田碹珠励金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  <w:t>章源钨业奖学金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  <w:t>陈国达奖一等奖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  <w:t>陈国达奖二等奖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  <w:t>中国电信奖学金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  <w:t>中国电信助学金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  <w:t>联邦一等奖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  <w:t>联邦二等奖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  <w:t>烟台万华奖学金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FMG奖学金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  <w:t>顺丰助学金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  <w:t>汇顶奖学金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  <w:t>卢惠霖奖励金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  <w:t>魏桥铝电奖学金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  <w:t>未名奖学金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  <w:t>鑫迪科技奖学金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励志奖励金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文学与新闻传播学院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外国语学院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建筑与艺术学院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商学院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27</w:t>
            </w:r>
          </w:p>
        </w:tc>
      </w:tr>
      <w:tr>
        <w:tblPrEx>
          <w:tblLayout w:type="fixed"/>
        </w:tblPrEx>
        <w:trPr>
          <w:trHeight w:val="275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法学院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马克思主义学院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公共管理学院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数学与统计学院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物理与电子学院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化学化工学院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13</w:t>
            </w:r>
          </w:p>
        </w:tc>
      </w:tr>
      <w:tr>
        <w:tblPrEx>
          <w:tblLayout w:type="fixed"/>
        </w:tblPrEx>
        <w:trPr>
          <w:trHeight w:val="275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bCs/>
                <w:color w:val="FF0000"/>
                <w:spacing w:val="-20"/>
                <w:sz w:val="22"/>
              </w:rPr>
            </w:pPr>
            <w:r>
              <w:rPr>
                <w:rFonts w:hint="eastAsia"/>
                <w:b/>
                <w:bCs/>
                <w:color w:val="FF0000"/>
                <w:spacing w:val="-20"/>
                <w:sz w:val="22"/>
              </w:rPr>
              <w:t>机电工程学院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b/>
                <w:bCs/>
                <w:color w:val="FF0000"/>
                <w:spacing w:val="-2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pacing w:val="-20"/>
                <w:sz w:val="18"/>
                <w:szCs w:val="18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能源科学与工程学院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材料科学与工程学院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粉末冶金研究院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交通运输工程学院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土木工程学院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7</w:t>
            </w:r>
          </w:p>
        </w:tc>
      </w:tr>
      <w:tr>
        <w:tblPrEx>
          <w:tblLayout w:type="fixed"/>
        </w:tblPrEx>
        <w:trPr>
          <w:trHeight w:val="275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冶金与环境学院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地球科学与信息物理学院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资源与安全工程学院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资源加工与生物工程学院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信息科学与工程学院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基础医学院（生殖与干细胞工程研究中心）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7</w:t>
            </w:r>
          </w:p>
        </w:tc>
      </w:tr>
      <w:tr>
        <w:tblPrEx>
          <w:tblLayout w:type="fixed"/>
        </w:tblPrEx>
        <w:trPr>
          <w:trHeight w:val="275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湘雅公共卫生学院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湘雅护理学院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口腔医学院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药学院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体育教研部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生命科学学院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6</w:t>
            </w:r>
          </w:p>
        </w:tc>
      </w:tr>
      <w:tr>
        <w:tblPrEx>
          <w:tblLayout w:type="fixed"/>
        </w:tblPrEx>
        <w:trPr>
          <w:trHeight w:val="275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软件学院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航空航天学院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信息与网络中心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湘雅医学院（含医学检验系、湘雅国际转化医学联合研究院）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信息安全与大数据研究院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轻合金研究院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</w:tr>
      <w:tr>
        <w:tblPrEx>
          <w:tblLayout w:type="fixed"/>
        </w:tblPrEx>
        <w:trPr>
          <w:trHeight w:val="275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湘雅医院（含临床药理研究所）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湘雅二医院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湘雅三医院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爱尔眼科学院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湘雅医学院附属海口医院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湘雅医学院附属肿瘤医院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</w:t>
            </w:r>
          </w:p>
        </w:tc>
      </w:tr>
      <w:tr>
        <w:tblPrEx>
          <w:tblLayout w:type="fixed"/>
        </w:tblPrEx>
        <w:trPr>
          <w:trHeight w:val="275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合    计：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366</w:t>
            </w:r>
          </w:p>
        </w:tc>
      </w:tr>
      <w:bookmarkEnd w:id="4"/>
    </w:tbl>
    <w:p>
      <w:pPr>
        <w:rPr>
          <w:rFonts w:cs="Times New Roman"/>
          <w:spacing w:val="-6"/>
        </w:rPr>
      </w:pPr>
      <w:r>
        <w:rPr>
          <w:rFonts w:hint="eastAsia" w:ascii="仿宋_GB2312" w:hAnsi="Times New Roman" w:eastAsia="仿宋_GB2312" w:cs="Times New Roman"/>
          <w:b/>
          <w:color w:val="000000"/>
          <w:kern w:val="0"/>
          <w:szCs w:val="21"/>
        </w:rPr>
        <w:t>注：</w:t>
      </w:r>
      <w:r>
        <w:rPr>
          <w:rFonts w:hint="eastAsia" w:ascii="仿宋_GB2312" w:hAnsi="Times New Roman" w:eastAsia="仿宋_GB2312" w:cs="Times New Roman"/>
          <w:color w:val="000000"/>
          <w:spacing w:val="-6"/>
          <w:kern w:val="0"/>
          <w:szCs w:val="21"/>
        </w:rPr>
        <w:t>汇顶科技奖学金和励志奖励金按照120%下达名额为由设奖单位自行评选并确定等级。</w:t>
      </w:r>
    </w:p>
    <w:p>
      <w:pPr>
        <w:pageBreakBefore/>
        <w:rPr>
          <w:rFonts w:ascii="黑体" w:hAnsi="Times New Roman" w:eastAsia="黑体" w:cs="Times New Roman"/>
          <w:color w:val="000000"/>
          <w:spacing w:val="-6"/>
          <w:kern w:val="0"/>
          <w:sz w:val="30"/>
          <w:szCs w:val="24"/>
        </w:rPr>
      </w:pPr>
      <w:r>
        <w:rPr>
          <w:rFonts w:hint="eastAsia" w:ascii="黑体" w:hAnsi="Times New Roman" w:eastAsia="黑体" w:cs="Times New Roman"/>
          <w:color w:val="000000"/>
          <w:kern w:val="0"/>
          <w:sz w:val="30"/>
          <w:szCs w:val="24"/>
        </w:rPr>
        <w:t>三、博士研究生推荐名额</w:t>
      </w:r>
    </w:p>
    <w:tbl>
      <w:tblPr>
        <w:tblStyle w:val="11"/>
        <w:tblW w:w="111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8"/>
        <w:gridCol w:w="386"/>
        <w:gridCol w:w="386"/>
        <w:gridCol w:w="386"/>
        <w:gridCol w:w="386"/>
        <w:gridCol w:w="386"/>
        <w:gridCol w:w="386"/>
        <w:gridCol w:w="386"/>
        <w:gridCol w:w="426"/>
        <w:gridCol w:w="386"/>
        <w:gridCol w:w="386"/>
        <w:gridCol w:w="386"/>
        <w:gridCol w:w="386"/>
        <w:gridCol w:w="426"/>
        <w:gridCol w:w="426"/>
        <w:gridCol w:w="386"/>
        <w:gridCol w:w="426"/>
        <w:gridCol w:w="386"/>
        <w:gridCol w:w="426"/>
        <w:gridCol w:w="386"/>
        <w:gridCol w:w="344"/>
        <w:gridCol w:w="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26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5" w:name="OLE_LINK8"/>
            <w:r>
              <w:rPr>
                <w:rFonts w:hint="eastAsia" w:ascii="宋体" w:hAnsi="宋体" w:cs="宋体"/>
                <w:kern w:val="0"/>
                <w:szCs w:val="21"/>
              </w:rPr>
              <w:t>二级单位</w:t>
            </w:r>
          </w:p>
        </w:tc>
        <w:tc>
          <w:tcPr>
            <w:tcW w:w="3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  <w:t>宝钢教育奖</w:t>
            </w:r>
          </w:p>
        </w:tc>
        <w:tc>
          <w:tcPr>
            <w:tcW w:w="3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  <w:t>茅以升铁路专项奖</w:t>
            </w:r>
          </w:p>
        </w:tc>
        <w:tc>
          <w:tcPr>
            <w:tcW w:w="3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  <w:t>钻石奖学金</w:t>
            </w:r>
          </w:p>
        </w:tc>
        <w:tc>
          <w:tcPr>
            <w:tcW w:w="3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  <w:t>米塔尔奖学金</w:t>
            </w:r>
          </w:p>
        </w:tc>
        <w:tc>
          <w:tcPr>
            <w:tcW w:w="3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  <w:t>黄培云教育奖励金</w:t>
            </w:r>
          </w:p>
        </w:tc>
        <w:tc>
          <w:tcPr>
            <w:tcW w:w="3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  <w:t>西北有色一等奖</w:t>
            </w:r>
          </w:p>
        </w:tc>
        <w:tc>
          <w:tcPr>
            <w:tcW w:w="3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  <w:t>西北有色二等奖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  <w:t>比亚迪奖</w:t>
            </w:r>
          </w:p>
        </w:tc>
        <w:tc>
          <w:tcPr>
            <w:tcW w:w="3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  <w:t>东岭集团奖学金</w:t>
            </w:r>
          </w:p>
        </w:tc>
        <w:tc>
          <w:tcPr>
            <w:tcW w:w="3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  <w:t>中矿地质奖一等奖</w:t>
            </w:r>
          </w:p>
        </w:tc>
        <w:tc>
          <w:tcPr>
            <w:tcW w:w="3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  <w:t>中矿地质奖二等奖</w:t>
            </w:r>
          </w:p>
        </w:tc>
        <w:tc>
          <w:tcPr>
            <w:tcW w:w="3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  <w:t>华为奖学金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  <w:t>蔡田碹珠奖励基金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  <w:t>中国电信奖学金</w:t>
            </w:r>
          </w:p>
        </w:tc>
        <w:tc>
          <w:tcPr>
            <w:tcW w:w="3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  <w:t>联邦一等奖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  <w:t>联邦二等奖</w:t>
            </w:r>
          </w:p>
        </w:tc>
        <w:tc>
          <w:tcPr>
            <w:tcW w:w="3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  <w:t>烟台万华奖学金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  <w:t>卢惠霖奖励金</w:t>
            </w:r>
          </w:p>
        </w:tc>
        <w:tc>
          <w:tcPr>
            <w:tcW w:w="3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  <w:t>未名奖学金</w:t>
            </w:r>
          </w:p>
        </w:tc>
        <w:tc>
          <w:tcPr>
            <w:tcW w:w="3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励志奖励金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8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文学与新闻传播学院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8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外国语学院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8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建筑与艺术学院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8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商学院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4" w:hRule="atLeast"/>
          <w:jc w:val="center"/>
        </w:trPr>
        <w:tc>
          <w:tcPr>
            <w:tcW w:w="268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法学院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8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马克思主义学院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8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公共管理学院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8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数学与统计学院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8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物理与电子学院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8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化学化工学院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4" w:hRule="atLeast"/>
          <w:jc w:val="center"/>
        </w:trPr>
        <w:tc>
          <w:tcPr>
            <w:tcW w:w="268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机电工程学院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8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能源科学与工程学院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8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材料科学与工程学院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8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粉末冶金研究院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8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交通运输工程学院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8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土木工程学院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4" w:hRule="atLeast"/>
          <w:jc w:val="center"/>
        </w:trPr>
        <w:tc>
          <w:tcPr>
            <w:tcW w:w="268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冶金与环境学院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8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地球科学与信息物理学院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8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资源与安全工程学院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8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资源加工与生物工程学院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8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信息科学与工程学院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8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基础医学院（生殖与干细胞工程研究中心）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4" w:hRule="atLeast"/>
          <w:jc w:val="center"/>
        </w:trPr>
        <w:tc>
          <w:tcPr>
            <w:tcW w:w="268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湘雅公共卫生学院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8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湘雅护理学院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8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药学院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8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生命科学学院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4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8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软件学院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8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信息安全与大数据研究院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4" w:hRule="atLeast"/>
          <w:jc w:val="center"/>
        </w:trPr>
        <w:tc>
          <w:tcPr>
            <w:tcW w:w="268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轻合金研究院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8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湘雅医院（含临床药理研究所）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8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湘雅二医院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8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湘雅三医院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8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爱尔眼科学院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8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湘雅医学院附属海口医院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4" w:hRule="atLeast"/>
          <w:jc w:val="center"/>
        </w:trPr>
        <w:tc>
          <w:tcPr>
            <w:tcW w:w="268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-20"/>
                <w:sz w:val="22"/>
              </w:rPr>
              <w:t>湘雅医学院附属肿瘤医院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6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    计：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4" w:type="dxa"/>
            <w:vAlign w:val="center"/>
          </w:tcPr>
          <w:p>
            <w:pPr>
              <w:spacing w:line="240" w:lineRule="exact"/>
              <w:jc w:val="righ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122</w:t>
            </w:r>
          </w:p>
        </w:tc>
      </w:tr>
      <w:bookmarkEnd w:id="5"/>
    </w:tbl>
    <w:p>
      <w:pPr>
        <w:rPr>
          <w:rFonts w:cs="Times New Roman"/>
          <w:spacing w:val="-6"/>
        </w:rPr>
      </w:pPr>
      <w:r>
        <w:rPr>
          <w:rFonts w:hint="eastAsia" w:ascii="仿宋_GB2312" w:hAnsi="Times New Roman" w:eastAsia="仿宋_GB2312" w:cs="Times New Roman"/>
          <w:b/>
          <w:color w:val="000000"/>
          <w:kern w:val="0"/>
          <w:szCs w:val="21"/>
        </w:rPr>
        <w:t>注：</w:t>
      </w:r>
      <w:r>
        <w:rPr>
          <w:rFonts w:hint="eastAsia" w:ascii="仿宋_GB2312" w:hAnsi="Times New Roman" w:eastAsia="仿宋_GB2312" w:cs="Times New Roman"/>
          <w:color w:val="000000"/>
          <w:spacing w:val="-6"/>
          <w:kern w:val="0"/>
          <w:szCs w:val="21"/>
        </w:rPr>
        <w:t>励志奖励金按照120%下达名额为由设奖单位自行评选并确定等级。</w:t>
      </w: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567" w:left="1800" w:header="851" w:footer="3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0C"/>
    <w:rsid w:val="00081E86"/>
    <w:rsid w:val="0009678A"/>
    <w:rsid w:val="000A5DA0"/>
    <w:rsid w:val="000E470B"/>
    <w:rsid w:val="00131213"/>
    <w:rsid w:val="00191AA5"/>
    <w:rsid w:val="001C44BB"/>
    <w:rsid w:val="002C7E8A"/>
    <w:rsid w:val="00520AF7"/>
    <w:rsid w:val="005632F6"/>
    <w:rsid w:val="005F74B4"/>
    <w:rsid w:val="005F7668"/>
    <w:rsid w:val="006670E3"/>
    <w:rsid w:val="00680BC8"/>
    <w:rsid w:val="006D4940"/>
    <w:rsid w:val="006E7B32"/>
    <w:rsid w:val="00712D5A"/>
    <w:rsid w:val="0071570C"/>
    <w:rsid w:val="007E7819"/>
    <w:rsid w:val="00864C50"/>
    <w:rsid w:val="00893918"/>
    <w:rsid w:val="008B21BC"/>
    <w:rsid w:val="008D490D"/>
    <w:rsid w:val="009123E5"/>
    <w:rsid w:val="009237E0"/>
    <w:rsid w:val="00B309D7"/>
    <w:rsid w:val="00BD2108"/>
    <w:rsid w:val="00D87E48"/>
    <w:rsid w:val="00EF7FF9"/>
    <w:rsid w:val="00F2779C"/>
    <w:rsid w:val="00FF1677"/>
    <w:rsid w:val="2F060BEA"/>
    <w:rsid w:val="48D835DB"/>
    <w:rsid w:val="7A5476B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42"/>
    <w:qFormat/>
    <w:uiPriority w:val="0"/>
    <w:pPr>
      <w:keepNext/>
      <w:keepLines/>
      <w:tabs>
        <w:tab w:val="left" w:pos="2200"/>
      </w:tabs>
      <w:spacing w:before="340" w:after="330" w:line="576" w:lineRule="auto"/>
      <w:ind w:left="825" w:hanging="425"/>
      <w:outlineLvl w:val="0"/>
    </w:pPr>
    <w:rPr>
      <w:rFonts w:ascii="仿宋_GB2312" w:hAnsi="Times New Roman" w:eastAsia="仿宋_GB2312" w:cs="Times New Roman"/>
      <w:b/>
      <w:bCs/>
      <w:color w:val="000000"/>
      <w:kern w:val="44"/>
      <w:sz w:val="44"/>
      <w:szCs w:val="44"/>
    </w:rPr>
  </w:style>
  <w:style w:type="paragraph" w:styleId="3">
    <w:name w:val="heading 2"/>
    <w:basedOn w:val="1"/>
    <w:next w:val="1"/>
    <w:link w:val="43"/>
    <w:unhideWhenUsed/>
    <w:qFormat/>
    <w:uiPriority w:val="0"/>
    <w:pPr>
      <w:keepNext/>
      <w:keepLines/>
      <w:tabs>
        <w:tab w:val="left" w:pos="2200"/>
      </w:tabs>
      <w:spacing w:before="260" w:after="260" w:line="415" w:lineRule="auto"/>
      <w:ind w:left="967" w:hanging="567"/>
      <w:outlineLvl w:val="1"/>
    </w:pPr>
    <w:rPr>
      <w:rFonts w:ascii="Arial" w:hAnsi="Arial" w:eastAsia="黑体" w:cs="Times New Roman"/>
      <w:b/>
      <w:bCs/>
      <w:color w:val="000000"/>
      <w:kern w:val="0"/>
      <w:sz w:val="32"/>
      <w:szCs w:val="32"/>
    </w:rPr>
  </w:style>
  <w:style w:type="paragraph" w:styleId="4">
    <w:name w:val="heading 3"/>
    <w:basedOn w:val="1"/>
    <w:next w:val="1"/>
    <w:link w:val="44"/>
    <w:unhideWhenUsed/>
    <w:qFormat/>
    <w:uiPriority w:val="0"/>
    <w:pPr>
      <w:keepNext/>
      <w:keepLines/>
      <w:spacing w:before="120" w:after="120"/>
      <w:ind w:left="709" w:hanging="709"/>
      <w:outlineLvl w:val="2"/>
    </w:pPr>
    <w:rPr>
      <w:rFonts w:ascii="仿宋_GB2312" w:hAnsi="Times New Roman" w:eastAsia="仿宋_GB2312" w:cs="Times New Roman"/>
      <w:b/>
      <w:bCs/>
      <w:color w:val="000000"/>
      <w:kern w:val="0"/>
      <w:sz w:val="28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45"/>
    <w:unhideWhenUsed/>
    <w:qFormat/>
    <w:uiPriority w:val="0"/>
    <w:rPr>
      <w:rFonts w:ascii="仿宋_GB2312" w:hAnsi="Times New Roman" w:eastAsia="仿宋_GB2312" w:cs="Times New Roman"/>
      <w:color w:val="000000"/>
      <w:kern w:val="0"/>
      <w:sz w:val="18"/>
      <w:szCs w:val="18"/>
    </w:rPr>
  </w:style>
  <w:style w:type="paragraph" w:styleId="6">
    <w:name w:val="footer"/>
    <w:basedOn w:val="1"/>
    <w:link w:val="4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4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paragraph" w:customStyle="1" w:styleId="12">
    <w:name w:val="_Style 6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18"/>
      <w:szCs w:val="18"/>
    </w:rPr>
  </w:style>
  <w:style w:type="paragraph" w:customStyle="1" w:styleId="14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仿宋_GB2312" w:hAnsi="宋体" w:eastAsia="仿宋_GB2312" w:cs="宋体"/>
      <w:color w:val="000000"/>
      <w:kern w:val="0"/>
      <w:sz w:val="18"/>
      <w:szCs w:val="18"/>
    </w:rPr>
  </w:style>
  <w:style w:type="paragraph" w:customStyle="1" w:styleId="16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18"/>
      <w:szCs w:val="18"/>
    </w:rPr>
  </w:style>
  <w:style w:type="paragraph" w:customStyle="1" w:styleId="19">
    <w:name w:val="文档标题"/>
    <w:basedOn w:val="1"/>
    <w:uiPriority w:val="0"/>
    <w:rPr>
      <w:rFonts w:ascii="仿宋_GB2312" w:hAnsi="Times New Roman" w:eastAsia="黑体" w:cs="Times New Roman"/>
      <w:b/>
      <w:color w:val="000000"/>
      <w:kern w:val="0"/>
      <w:sz w:val="36"/>
      <w:szCs w:val="24"/>
    </w:rPr>
  </w:style>
  <w:style w:type="paragraph" w:customStyle="1" w:styleId="20">
    <w:name w:val="文章标题"/>
    <w:basedOn w:val="1"/>
    <w:qFormat/>
    <w:uiPriority w:val="0"/>
    <w:pPr>
      <w:spacing w:afterLines="200" w:line="360" w:lineRule="auto"/>
      <w:jc w:val="center"/>
    </w:pPr>
    <w:rPr>
      <w:rFonts w:ascii="黑体" w:hAnsi="Times New Roman" w:eastAsia="黑体" w:cs="Times New Roman"/>
      <w:color w:val="000000"/>
      <w:kern w:val="0"/>
      <w:sz w:val="36"/>
      <w:szCs w:val="24"/>
    </w:rPr>
  </w:style>
  <w:style w:type="paragraph" w:customStyle="1" w:styleId="21">
    <w:name w:val="正文列表"/>
    <w:basedOn w:val="1"/>
    <w:uiPriority w:val="0"/>
    <w:pPr>
      <w:ind w:left="567" w:hanging="454"/>
      <w:outlineLvl w:val="3"/>
    </w:pPr>
    <w:rPr>
      <w:rFonts w:ascii="仿宋_GB2312" w:hAnsi="Times New Roman" w:eastAsia="仿宋_GB2312" w:cs="Times New Roman"/>
      <w:color w:val="000000"/>
      <w:kern w:val="0"/>
      <w:sz w:val="30"/>
      <w:szCs w:val="24"/>
    </w:rPr>
  </w:style>
  <w:style w:type="paragraph" w:customStyle="1" w:styleId="22">
    <w:name w:val="正文列表二级"/>
    <w:basedOn w:val="21"/>
    <w:uiPriority w:val="0"/>
    <w:pPr>
      <w:tabs>
        <w:tab w:val="left" w:pos="947"/>
      </w:tabs>
      <w:ind w:left="420" w:hanging="193"/>
    </w:pPr>
  </w:style>
  <w:style w:type="paragraph" w:customStyle="1" w:styleId="23">
    <w:name w:val="图表字体"/>
    <w:basedOn w:val="1"/>
    <w:uiPriority w:val="0"/>
    <w:pPr>
      <w:jc w:val="center"/>
    </w:pPr>
    <w:rPr>
      <w:rFonts w:ascii="仿宋_GB2312" w:hAnsi="宋体" w:eastAsia="仿宋_GB2312" w:cs="Times New Roman"/>
      <w:color w:val="000000"/>
      <w:kern w:val="0"/>
      <w:sz w:val="30"/>
      <w:szCs w:val="24"/>
    </w:rPr>
  </w:style>
  <w:style w:type="paragraph" w:customStyle="1" w:styleId="24">
    <w:name w:val="地址"/>
    <w:basedOn w:val="1"/>
    <w:uiPriority w:val="0"/>
    <w:rPr>
      <w:rFonts w:ascii="仿宋_GB2312" w:hAnsi="Times New Roman" w:eastAsia="仿宋_GB2312" w:cs="Times New Roman"/>
      <w:color w:val="000000"/>
      <w:kern w:val="0"/>
      <w:szCs w:val="24"/>
    </w:rPr>
  </w:style>
  <w:style w:type="paragraph" w:customStyle="1" w:styleId="25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18"/>
      <w:szCs w:val="18"/>
    </w:rPr>
  </w:style>
  <w:style w:type="paragraph" w:customStyle="1" w:styleId="26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7">
    <w:name w:val="xl7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18"/>
      <w:szCs w:val="18"/>
    </w:rPr>
  </w:style>
  <w:style w:type="paragraph" w:customStyle="1" w:styleId="29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0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33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3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40">
    <w:name w:val="页眉 Char"/>
    <w:basedOn w:val="8"/>
    <w:link w:val="7"/>
    <w:qFormat/>
    <w:uiPriority w:val="0"/>
    <w:rPr>
      <w:sz w:val="18"/>
      <w:szCs w:val="18"/>
    </w:rPr>
  </w:style>
  <w:style w:type="character" w:customStyle="1" w:styleId="41">
    <w:name w:val="页脚 Char"/>
    <w:basedOn w:val="8"/>
    <w:link w:val="6"/>
    <w:qFormat/>
    <w:uiPriority w:val="0"/>
    <w:rPr>
      <w:sz w:val="18"/>
      <w:szCs w:val="18"/>
    </w:rPr>
  </w:style>
  <w:style w:type="character" w:customStyle="1" w:styleId="42">
    <w:name w:val="标题 1 Char"/>
    <w:basedOn w:val="8"/>
    <w:link w:val="2"/>
    <w:uiPriority w:val="0"/>
    <w:rPr>
      <w:rFonts w:ascii="仿宋_GB2312" w:hAnsi="Times New Roman" w:eastAsia="仿宋_GB2312" w:cs="Times New Roman"/>
      <w:b/>
      <w:bCs/>
      <w:color w:val="000000"/>
      <w:kern w:val="44"/>
      <w:sz w:val="44"/>
      <w:szCs w:val="44"/>
    </w:rPr>
  </w:style>
  <w:style w:type="character" w:customStyle="1" w:styleId="43">
    <w:name w:val="标题 2 Char"/>
    <w:basedOn w:val="8"/>
    <w:link w:val="3"/>
    <w:qFormat/>
    <w:uiPriority w:val="0"/>
    <w:rPr>
      <w:rFonts w:ascii="Arial" w:hAnsi="Arial" w:eastAsia="黑体" w:cs="Times New Roman"/>
      <w:b/>
      <w:bCs/>
      <w:color w:val="000000"/>
      <w:kern w:val="0"/>
      <w:sz w:val="32"/>
      <w:szCs w:val="32"/>
    </w:rPr>
  </w:style>
  <w:style w:type="character" w:customStyle="1" w:styleId="44">
    <w:name w:val="标题 3 Char"/>
    <w:basedOn w:val="8"/>
    <w:link w:val="4"/>
    <w:qFormat/>
    <w:uiPriority w:val="0"/>
    <w:rPr>
      <w:rFonts w:ascii="仿宋_GB2312" w:hAnsi="Times New Roman" w:eastAsia="仿宋_GB2312" w:cs="Times New Roman"/>
      <w:b/>
      <w:bCs/>
      <w:color w:val="000000"/>
      <w:kern w:val="0"/>
      <w:sz w:val="28"/>
      <w:szCs w:val="32"/>
    </w:rPr>
  </w:style>
  <w:style w:type="character" w:customStyle="1" w:styleId="45">
    <w:name w:val="批注框文本 Char"/>
    <w:basedOn w:val="8"/>
    <w:link w:val="5"/>
    <w:uiPriority w:val="0"/>
    <w:rPr>
      <w:rFonts w:ascii="仿宋_GB2312" w:hAnsi="Times New Roman" w:eastAsia="仿宋_GB2312" w:cs="Times New Roman"/>
      <w:color w:val="000000"/>
      <w:kern w:val="0"/>
      <w:sz w:val="18"/>
      <w:szCs w:val="18"/>
    </w:rPr>
  </w:style>
  <w:style w:type="character" w:customStyle="1" w:styleId="46">
    <w:name w:val="页脚 Char1"/>
    <w:semiHidden/>
    <w:qFormat/>
    <w:uiPriority w:val="99"/>
    <w:rPr>
      <w:kern w:val="2"/>
      <w:sz w:val="18"/>
      <w:szCs w:val="18"/>
    </w:rPr>
  </w:style>
  <w:style w:type="character" w:customStyle="1" w:styleId="47">
    <w:name w:val="批注框文本 Char1"/>
    <w:semiHidden/>
    <w:qFormat/>
    <w:uiPriority w:val="99"/>
    <w:rPr>
      <w:kern w:val="2"/>
      <w:sz w:val="18"/>
      <w:szCs w:val="18"/>
    </w:rPr>
  </w:style>
  <w:style w:type="character" w:customStyle="1" w:styleId="48">
    <w:name w:val="页眉 Char1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1179</Words>
  <Characters>6723</Characters>
  <Lines>56</Lines>
  <Paragraphs>15</Paragraphs>
  <ScaleCrop>false</ScaleCrop>
  <LinksUpToDate>false</LinksUpToDate>
  <CharactersWithSpaces>7887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2016-07-13T01:40:00Z</dcterms:created>
  <dc:creator>周新宏</dc:creator>
  <cp:lastModifiedBy>Administrator</cp:lastModifiedBy>
  <cp:lastPrinted>2016-07-14T00:03:00Z</cp:lastPrinted>
  <dcterms:modified xsi:type="dcterms:W3CDTF">2016-08-24T08:21:44Z</dcterms:modified>
  <dc:title>附件2：2015年校级奖励金学生奖推荐名额分配表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