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Arial"/>
          <w:kern w:val="0"/>
          <w:sz w:val="28"/>
          <w:szCs w:val="28"/>
        </w:rPr>
      </w:pPr>
      <w:bookmarkStart w:id="0" w:name="_GoBack"/>
      <w:r>
        <w:rPr>
          <w:rFonts w:hint="eastAsia" w:ascii="黑体" w:hAnsi="黑体" w:eastAsia="黑体" w:cs="Arial"/>
          <w:kern w:val="0"/>
          <w:sz w:val="28"/>
          <w:szCs w:val="28"/>
        </w:rPr>
        <w:t>附件</w:t>
      </w:r>
      <w:r>
        <w:rPr>
          <w:rFonts w:ascii="黑体" w:hAnsi="黑体" w:eastAsia="黑体" w:cs="Arial"/>
          <w:kern w:val="0"/>
          <w:sz w:val="28"/>
          <w:szCs w:val="28"/>
        </w:rPr>
        <w:t>4</w:t>
      </w:r>
    </w:p>
    <w:p>
      <w:pPr>
        <w:widowControl/>
        <w:spacing w:line="500" w:lineRule="exact"/>
        <w:jc w:val="center"/>
        <w:rPr>
          <w:rFonts w:ascii="黑体" w:hAnsi="黑体" w:eastAsia="黑体" w:cs="Arial"/>
          <w:b/>
          <w:kern w:val="0"/>
          <w:sz w:val="32"/>
          <w:szCs w:val="32"/>
        </w:rPr>
      </w:pPr>
      <w:r>
        <w:rPr>
          <w:rFonts w:hint="eastAsia" w:ascii="仿宋_GB2312" w:hAnsi="宋体" w:eastAsia="仿宋_GB2312" w:cs="Arial"/>
          <w:b/>
          <w:kern w:val="0"/>
          <w:sz w:val="32"/>
          <w:szCs w:val="32"/>
        </w:rPr>
        <w:t>中南大学</w:t>
      </w:r>
      <w:r>
        <w:rPr>
          <w:rFonts w:ascii="仿宋_GB2312" w:hAnsi="宋体" w:eastAsia="仿宋_GB2312" w:cs="Arial"/>
          <w:b/>
          <w:kern w:val="0"/>
          <w:sz w:val="32"/>
          <w:szCs w:val="32"/>
        </w:rPr>
        <w:t>2018</w:t>
      </w:r>
      <w:r>
        <w:rPr>
          <w:rFonts w:hint="eastAsia" w:ascii="仿宋_GB2312" w:hAnsi="宋体" w:eastAsia="仿宋_GB2312" w:cs="Arial"/>
          <w:b/>
          <w:kern w:val="0"/>
          <w:sz w:val="32"/>
          <w:szCs w:val="32"/>
        </w:rPr>
        <w:t>年硕士研究生新生学费标准及奖助学金政策</w:t>
      </w:r>
    </w:p>
    <w:bookmarkEnd w:id="0"/>
    <w:p>
      <w:pPr>
        <w:widowControl/>
        <w:spacing w:line="500" w:lineRule="exact"/>
        <w:ind w:firstLine="420"/>
        <w:rPr>
          <w:rFonts w:ascii="仿宋_GB2312" w:hAnsi="宋体" w:eastAsia="仿宋_GB2312" w:cs="Arial"/>
          <w:kern w:val="0"/>
          <w:sz w:val="24"/>
        </w:rPr>
      </w:pPr>
      <w:r>
        <w:rPr>
          <w:rFonts w:hint="eastAsia" w:ascii="仿宋_GB2312" w:hAnsi="宋体" w:eastAsia="仿宋_GB2312" w:cs="Arial"/>
          <w:kern w:val="0"/>
          <w:sz w:val="24"/>
        </w:rPr>
        <w:t>国家规定所有纳入招生计划的硕士研究生都要缴纳学费。根据《湖南省发展和改革委员会、湖南省财政厅、湖南省教育厅关于加强我省研究生收费管理的通知》（湘发改价费</w:t>
      </w:r>
      <w:r>
        <w:rPr>
          <w:rFonts w:ascii="仿宋_GB2312" w:hAnsi="宋体" w:eastAsia="仿宋_GB2312" w:cs="Arial"/>
          <w:kern w:val="0"/>
          <w:sz w:val="24"/>
        </w:rPr>
        <w:t>[2018]99</w:t>
      </w:r>
      <w:r>
        <w:rPr>
          <w:rFonts w:hint="eastAsia" w:ascii="仿宋_GB2312" w:hAnsi="宋体" w:eastAsia="仿宋_GB2312" w:cs="Arial"/>
          <w:kern w:val="0"/>
          <w:sz w:val="24"/>
        </w:rPr>
        <w:t>号）以及国家有关研究生奖助政策。并结合本校实际，我校</w:t>
      </w:r>
      <w:r>
        <w:rPr>
          <w:rFonts w:ascii="仿宋_GB2312" w:hAnsi="宋体" w:eastAsia="仿宋_GB2312" w:cs="Arial"/>
          <w:kern w:val="0"/>
          <w:sz w:val="24"/>
        </w:rPr>
        <w:t>2018</w:t>
      </w:r>
      <w:r>
        <w:rPr>
          <w:rFonts w:hint="eastAsia" w:ascii="仿宋_GB2312" w:hAnsi="宋体" w:eastAsia="仿宋_GB2312" w:cs="Arial"/>
          <w:kern w:val="0"/>
          <w:sz w:val="24"/>
        </w:rPr>
        <w:t>年硕士研究生新生学费标准及奖助学金政策如下：</w:t>
      </w:r>
    </w:p>
    <w:p>
      <w:pPr>
        <w:widowControl/>
        <w:spacing w:line="500" w:lineRule="exact"/>
        <w:ind w:firstLine="420"/>
        <w:rPr>
          <w:rFonts w:ascii="仿宋_GB2312" w:hAnsi="宋体" w:eastAsia="仿宋_GB2312" w:cs="Arial"/>
          <w:kern w:val="0"/>
          <w:sz w:val="24"/>
        </w:rPr>
      </w:pPr>
      <w:r>
        <w:rPr>
          <w:rFonts w:ascii="仿宋_GB2312" w:hAnsi="宋体" w:eastAsia="仿宋_GB2312" w:cs="Arial"/>
          <w:kern w:val="0"/>
          <w:sz w:val="24"/>
        </w:rPr>
        <w:t>1</w:t>
      </w:r>
      <w:r>
        <w:rPr>
          <w:rFonts w:hint="eastAsia" w:ascii="仿宋_GB2312" w:hAnsi="宋体" w:eastAsia="仿宋_GB2312" w:cs="Arial"/>
          <w:kern w:val="0"/>
          <w:sz w:val="24"/>
        </w:rPr>
        <w:t>．研究生奖助学金包括：研究生国家奖学金、研究生学业奖学金、拔尖博士生校长奖学金、研究生助学金、校级奖励金等。研究生奖助学金经费来源包括国家财政拨款、学校统筹经费、导师科研经费支出以及社会企事业单位捐赠的专项经费等。</w:t>
      </w:r>
    </w:p>
    <w:p>
      <w:pPr>
        <w:widowControl/>
        <w:spacing w:line="500" w:lineRule="exact"/>
        <w:ind w:firstLine="420"/>
        <w:rPr>
          <w:rFonts w:ascii="仿宋_GB2312" w:hAnsi="宋体" w:eastAsia="仿宋_GB2312" w:cs="Arial"/>
          <w:kern w:val="0"/>
          <w:sz w:val="24"/>
        </w:rPr>
      </w:pPr>
      <w:r>
        <w:rPr>
          <w:rFonts w:ascii="仿宋_GB2312" w:hAnsi="宋体" w:eastAsia="仿宋_GB2312" w:cs="Arial"/>
          <w:kern w:val="0"/>
          <w:sz w:val="24"/>
        </w:rPr>
        <w:t>2</w:t>
      </w:r>
      <w:r>
        <w:rPr>
          <w:rFonts w:hint="eastAsia" w:ascii="仿宋_GB2312" w:hAnsi="宋体" w:eastAsia="仿宋_GB2312" w:cs="Arial"/>
          <w:kern w:val="0"/>
          <w:sz w:val="24"/>
        </w:rPr>
        <w:t>．研究生国家奖学金、研究生学业奖学金、拔尖博士生校长奖学金、研究生助学金奖励资助对象为具有中华人民共和国国籍且纳入全国研究生招生计划的全日制非定向就业研究生。校级奖励金资助对象为具有中华人民共和国国籍且纳入全国研究生招生计划的非定向就业研究生。</w:t>
      </w:r>
      <w:r>
        <w:rPr>
          <w:rFonts w:ascii="仿宋_GB2312" w:hAnsi="宋体" w:eastAsia="仿宋_GB2312" w:cs="Arial"/>
          <w:kern w:val="0"/>
          <w:sz w:val="24"/>
        </w:rPr>
        <w:t xml:space="preserve"> </w:t>
      </w:r>
      <w:r>
        <w:rPr>
          <w:rFonts w:hint="eastAsia" w:ascii="仿宋_GB2312" w:hAnsi="宋体" w:eastAsia="仿宋_GB2312" w:cs="Arial"/>
          <w:kern w:val="0"/>
          <w:sz w:val="24"/>
        </w:rPr>
        <w:t>“强军计划”和“少数民族骨干人才计划”享受研究生助学金，在制定研究生学业奖学金配套文件时，对“强军计划”和“骨干计划”研究生予以倾斜。</w:t>
      </w:r>
    </w:p>
    <w:p>
      <w:pPr>
        <w:widowControl/>
        <w:spacing w:line="500" w:lineRule="exact"/>
        <w:ind w:firstLine="420"/>
        <w:rPr>
          <w:rFonts w:ascii="仿宋_GB2312" w:hAnsi="宋体" w:eastAsia="仿宋_GB2312" w:cs="Arial"/>
          <w:kern w:val="0"/>
          <w:sz w:val="24"/>
        </w:rPr>
      </w:pPr>
      <w:r>
        <w:rPr>
          <w:rFonts w:ascii="仿宋_GB2312" w:hAnsi="宋体" w:eastAsia="仿宋_GB2312" w:cs="Arial"/>
          <w:kern w:val="0"/>
          <w:sz w:val="24"/>
        </w:rPr>
        <w:t>3</w:t>
      </w:r>
      <w:r>
        <w:rPr>
          <w:rFonts w:hint="eastAsia" w:ascii="仿宋_GB2312" w:hAnsi="宋体" w:eastAsia="仿宋_GB2312" w:cs="Arial"/>
          <w:kern w:val="0"/>
          <w:sz w:val="24"/>
        </w:rPr>
        <w:t>．研究生可同时申报研究生学业奖学金、研究生国家奖学金、拔尖博士生校长奖学金和各项校级奖励金，但不能同时获得研究生国家奖学金和各项校级奖励金。</w:t>
      </w:r>
    </w:p>
    <w:p>
      <w:pPr>
        <w:widowControl/>
        <w:spacing w:line="500" w:lineRule="exact"/>
        <w:ind w:firstLine="420"/>
        <w:rPr>
          <w:rFonts w:ascii="仿宋_GB2312" w:hAnsi="宋体" w:eastAsia="仿宋_GB2312" w:cs="Arial"/>
          <w:kern w:val="0"/>
          <w:sz w:val="24"/>
        </w:rPr>
      </w:pPr>
      <w:r>
        <w:rPr>
          <w:rFonts w:ascii="仿宋_GB2312" w:hAnsi="宋体" w:eastAsia="仿宋_GB2312" w:cs="Arial"/>
          <w:kern w:val="0"/>
          <w:sz w:val="24"/>
        </w:rPr>
        <w:t>4</w:t>
      </w:r>
      <w:r>
        <w:rPr>
          <w:rFonts w:hint="eastAsia" w:ascii="仿宋_GB2312" w:hAnsi="宋体" w:eastAsia="仿宋_GB2312" w:cs="Arial"/>
          <w:kern w:val="0"/>
          <w:sz w:val="24"/>
        </w:rPr>
        <w:t>．非全日制研究生不享受研究生国家奖学金、研究生国家助学金、学校助学金、研究生学业奖学金等。是否享受导师奖学金及各类校级奖励金学生奖，将由导师及二级单位根据非全日制研究生所选择的具体学习方式（如是否全脱产）及在校表现与业绩等具体情况确定，其中校级奖励金学生奖还需经研究生院审定。</w:t>
      </w:r>
    </w:p>
    <w:p>
      <w:pPr>
        <w:widowControl/>
        <w:spacing w:line="500" w:lineRule="exact"/>
        <w:ind w:firstLine="420"/>
        <w:rPr>
          <w:rFonts w:ascii="仿宋_GB2312" w:hAnsi="宋体" w:eastAsia="仿宋_GB2312" w:cs="Arial"/>
          <w:kern w:val="0"/>
          <w:sz w:val="24"/>
        </w:rPr>
      </w:pPr>
      <w:r>
        <w:rPr>
          <w:rFonts w:ascii="仿宋_GB2312" w:hAnsi="宋体" w:eastAsia="仿宋_GB2312" w:cs="Arial"/>
          <w:kern w:val="0"/>
          <w:sz w:val="24"/>
        </w:rPr>
        <w:t>5</w:t>
      </w:r>
      <w:r>
        <w:rPr>
          <w:rFonts w:hint="eastAsia" w:ascii="仿宋_GB2312" w:hAnsi="宋体" w:eastAsia="仿宋_GB2312" w:cs="Arial"/>
          <w:kern w:val="0"/>
          <w:sz w:val="24"/>
        </w:rPr>
        <w:t>．研究生学业奖学金按学年进行动态评定。一年级新生学业奖学金分</w:t>
      </w:r>
      <w:r>
        <w:rPr>
          <w:rFonts w:ascii="仿宋_GB2312" w:hAnsi="宋体" w:eastAsia="仿宋_GB2312" w:cs="Arial"/>
          <w:kern w:val="0"/>
          <w:sz w:val="24"/>
        </w:rPr>
        <w:t>2</w:t>
      </w:r>
      <w:r>
        <w:rPr>
          <w:rFonts w:hint="eastAsia" w:ascii="仿宋_GB2312" w:hAnsi="宋体" w:eastAsia="仿宋_GB2312" w:cs="Arial"/>
          <w:kern w:val="0"/>
          <w:sz w:val="24"/>
        </w:rPr>
        <w:t>个等级标准：推免生每生每年</w:t>
      </w:r>
      <w:r>
        <w:rPr>
          <w:rFonts w:ascii="仿宋_GB2312" w:hAnsi="宋体" w:eastAsia="仿宋_GB2312" w:cs="Arial"/>
          <w:kern w:val="0"/>
          <w:sz w:val="24"/>
        </w:rPr>
        <w:t>1</w:t>
      </w:r>
      <w:r>
        <w:rPr>
          <w:rFonts w:hint="eastAsia" w:ascii="仿宋_GB2312" w:hAnsi="宋体" w:eastAsia="仿宋_GB2312" w:cs="Arial"/>
          <w:kern w:val="0"/>
          <w:sz w:val="24"/>
        </w:rPr>
        <w:t>万元，非推免生每生每年</w:t>
      </w:r>
      <w:r>
        <w:rPr>
          <w:rFonts w:ascii="仿宋_GB2312" w:hAnsi="宋体" w:eastAsia="仿宋_GB2312" w:cs="Arial"/>
          <w:kern w:val="0"/>
          <w:sz w:val="24"/>
        </w:rPr>
        <w:t>0.8</w:t>
      </w:r>
      <w:r>
        <w:rPr>
          <w:rFonts w:hint="eastAsia" w:ascii="仿宋_GB2312" w:hAnsi="宋体" w:eastAsia="仿宋_GB2312" w:cs="Arial"/>
          <w:kern w:val="0"/>
          <w:sz w:val="24"/>
        </w:rPr>
        <w:t>万元；新生进校后第二、三学年将根据学习、科研等情况重新评定学业奖学金。高年级分</w:t>
      </w:r>
      <w:r>
        <w:rPr>
          <w:rFonts w:ascii="仿宋_GB2312" w:hAnsi="宋体" w:eastAsia="仿宋_GB2312" w:cs="Arial"/>
          <w:kern w:val="0"/>
          <w:sz w:val="24"/>
        </w:rPr>
        <w:t>3</w:t>
      </w:r>
      <w:r>
        <w:rPr>
          <w:rFonts w:hint="eastAsia" w:ascii="仿宋_GB2312" w:hAnsi="宋体" w:eastAsia="仿宋_GB2312" w:cs="Arial"/>
          <w:kern w:val="0"/>
          <w:sz w:val="24"/>
        </w:rPr>
        <w:t>个等级标准，一等奖每生每年</w:t>
      </w:r>
      <w:r>
        <w:rPr>
          <w:rFonts w:ascii="仿宋_GB2312" w:hAnsi="宋体" w:eastAsia="仿宋_GB2312" w:cs="Arial"/>
          <w:kern w:val="0"/>
          <w:sz w:val="24"/>
        </w:rPr>
        <w:t>1.2</w:t>
      </w:r>
      <w:r>
        <w:rPr>
          <w:rFonts w:hint="eastAsia" w:ascii="仿宋_GB2312" w:hAnsi="宋体" w:eastAsia="仿宋_GB2312" w:cs="Arial"/>
          <w:kern w:val="0"/>
          <w:sz w:val="24"/>
        </w:rPr>
        <w:t>万元，二等奖每生每年</w:t>
      </w:r>
      <w:r>
        <w:rPr>
          <w:rFonts w:ascii="仿宋_GB2312" w:hAnsi="宋体" w:eastAsia="仿宋_GB2312" w:cs="Arial"/>
          <w:kern w:val="0"/>
          <w:sz w:val="24"/>
        </w:rPr>
        <w:t>0.8</w:t>
      </w:r>
      <w:r>
        <w:rPr>
          <w:rFonts w:hint="eastAsia" w:ascii="仿宋_GB2312" w:hAnsi="宋体" w:eastAsia="仿宋_GB2312" w:cs="Arial"/>
          <w:kern w:val="0"/>
          <w:sz w:val="24"/>
        </w:rPr>
        <w:t>万元，三等奖每生每年</w:t>
      </w:r>
      <w:r>
        <w:rPr>
          <w:rFonts w:ascii="仿宋_GB2312" w:hAnsi="宋体" w:eastAsia="仿宋_GB2312" w:cs="Arial"/>
          <w:kern w:val="0"/>
          <w:sz w:val="24"/>
        </w:rPr>
        <w:t>0.5</w:t>
      </w:r>
      <w:r>
        <w:rPr>
          <w:rFonts w:hint="eastAsia" w:ascii="仿宋_GB2312" w:hAnsi="宋体" w:eastAsia="仿宋_GB2312" w:cs="Arial"/>
          <w:kern w:val="0"/>
          <w:sz w:val="24"/>
        </w:rPr>
        <w:t>万元。具体设置等级及奖励标准见下表。</w:t>
      </w:r>
    </w:p>
    <w:p>
      <w:pPr>
        <w:spacing w:line="400" w:lineRule="exact"/>
        <w:ind w:firstLine="600"/>
        <w:rPr>
          <w:rFonts w:ascii="宋体" w:cs="仿宋_GB2312"/>
          <w:b/>
          <w:sz w:val="24"/>
        </w:rPr>
      </w:pPr>
      <w:r>
        <w:rPr>
          <w:rFonts w:hint="eastAsia" w:ascii="宋体" w:hAnsi="宋体" w:cs="仿宋_GB2312"/>
          <w:szCs w:val="21"/>
        </w:rPr>
        <w:t>　</w:t>
      </w:r>
      <w:r>
        <w:rPr>
          <w:rFonts w:ascii="宋体" w:hAnsi="宋体" w:cs="仿宋_GB2312"/>
          <w:szCs w:val="21"/>
        </w:rPr>
        <w:t xml:space="preserve">                    </w:t>
      </w:r>
      <w:r>
        <w:rPr>
          <w:rFonts w:ascii="宋体" w:hAnsi="宋体" w:cs="仿宋_GB2312"/>
          <w:b/>
          <w:szCs w:val="21"/>
        </w:rPr>
        <w:t xml:space="preserve">  </w:t>
      </w:r>
      <w:r>
        <w:rPr>
          <w:rFonts w:ascii="宋体" w:hAnsi="宋体" w:cs="仿宋_GB2312"/>
          <w:b/>
          <w:sz w:val="24"/>
        </w:rPr>
        <w:t xml:space="preserve"> </w:t>
      </w:r>
      <w:r>
        <w:rPr>
          <w:rFonts w:hint="eastAsia" w:ascii="宋体" w:hAnsi="宋体" w:cs="仿宋_GB2312"/>
          <w:b/>
          <w:sz w:val="24"/>
        </w:rPr>
        <w:t>研究生学业奖学金设置等级及标准</w:t>
      </w:r>
    </w:p>
    <w:tbl>
      <w:tblPr>
        <w:tblStyle w:val="7"/>
        <w:tblW w:w="7938" w:type="dxa"/>
        <w:tblInd w:w="9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7"/>
        <w:gridCol w:w="1276"/>
        <w:gridCol w:w="1701"/>
        <w:gridCol w:w="1417"/>
        <w:gridCol w:w="2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2693" w:type="dxa"/>
            <w:gridSpan w:val="2"/>
            <w:vAlign w:val="center"/>
          </w:tcPr>
          <w:p>
            <w:pPr>
              <w:spacing w:line="520" w:lineRule="exact"/>
              <w:jc w:val="center"/>
              <w:rPr>
                <w:rFonts w:ascii="宋体" w:cs="仿宋_GB2312"/>
                <w:szCs w:val="21"/>
              </w:rPr>
            </w:pPr>
            <w:r>
              <w:rPr>
                <w:rFonts w:hint="eastAsia" w:ascii="宋体" w:hAnsi="宋体" w:cs="仿宋_GB2312"/>
                <w:szCs w:val="21"/>
              </w:rPr>
              <w:t>培养类别</w:t>
            </w:r>
          </w:p>
        </w:tc>
        <w:tc>
          <w:tcPr>
            <w:tcW w:w="1701" w:type="dxa"/>
            <w:vAlign w:val="center"/>
          </w:tcPr>
          <w:p>
            <w:pPr>
              <w:spacing w:line="520" w:lineRule="exact"/>
              <w:jc w:val="center"/>
              <w:rPr>
                <w:rFonts w:ascii="宋体" w:cs="仿宋_GB2312"/>
                <w:szCs w:val="21"/>
              </w:rPr>
            </w:pPr>
            <w:r>
              <w:rPr>
                <w:rFonts w:hint="eastAsia" w:ascii="宋体" w:hAnsi="宋体" w:cs="仿宋_GB2312"/>
                <w:szCs w:val="21"/>
              </w:rPr>
              <w:t>等级</w:t>
            </w:r>
          </w:p>
        </w:tc>
        <w:tc>
          <w:tcPr>
            <w:tcW w:w="1417" w:type="dxa"/>
            <w:vAlign w:val="center"/>
          </w:tcPr>
          <w:p>
            <w:pPr>
              <w:spacing w:line="520" w:lineRule="exact"/>
              <w:jc w:val="center"/>
              <w:rPr>
                <w:rFonts w:ascii="宋体" w:cs="仿宋_GB2312"/>
                <w:szCs w:val="21"/>
              </w:rPr>
            </w:pPr>
            <w:r>
              <w:rPr>
                <w:rFonts w:hint="eastAsia" w:ascii="宋体" w:hAnsi="宋体" w:cs="仿宋_GB2312"/>
                <w:szCs w:val="21"/>
              </w:rPr>
              <w:t>获奖比例</w:t>
            </w:r>
          </w:p>
        </w:tc>
        <w:tc>
          <w:tcPr>
            <w:tcW w:w="2127" w:type="dxa"/>
            <w:vAlign w:val="center"/>
          </w:tcPr>
          <w:p>
            <w:pPr>
              <w:spacing w:line="520" w:lineRule="exact"/>
              <w:jc w:val="center"/>
              <w:rPr>
                <w:rFonts w:ascii="宋体" w:cs="仿宋_GB2312"/>
                <w:szCs w:val="21"/>
              </w:rPr>
            </w:pPr>
            <w:r>
              <w:rPr>
                <w:rFonts w:hint="eastAsia" w:ascii="宋体" w:hAnsi="宋体" w:cs="仿宋_GB2312"/>
                <w:szCs w:val="21"/>
              </w:rPr>
              <w:t>奖励标准（万元）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7" w:type="dxa"/>
            <w:vMerge w:val="restart"/>
            <w:tcBorders>
              <w:right w:val="single" w:color="auto" w:sz="4" w:space="0"/>
            </w:tcBorders>
            <w:vAlign w:val="center"/>
          </w:tcPr>
          <w:p>
            <w:pPr>
              <w:spacing w:line="520" w:lineRule="exact"/>
              <w:jc w:val="center"/>
              <w:rPr>
                <w:rFonts w:ascii="宋体" w:cs="仿宋_GB2312"/>
                <w:szCs w:val="21"/>
              </w:rPr>
            </w:pPr>
            <w:r>
              <w:rPr>
                <w:rFonts w:hint="eastAsia" w:ascii="宋体" w:hAnsi="宋体" w:cs="仿宋_GB2312"/>
                <w:szCs w:val="21"/>
              </w:rPr>
              <w:t>全日制</w:t>
            </w:r>
          </w:p>
          <w:p>
            <w:pPr>
              <w:spacing w:line="520" w:lineRule="exact"/>
              <w:jc w:val="center"/>
              <w:rPr>
                <w:rFonts w:ascii="宋体" w:cs="仿宋_GB2312"/>
                <w:szCs w:val="21"/>
              </w:rPr>
            </w:pPr>
            <w:r>
              <w:rPr>
                <w:rFonts w:hint="eastAsia" w:ascii="宋体" w:hAnsi="宋体" w:cs="仿宋_GB2312"/>
                <w:szCs w:val="21"/>
              </w:rPr>
              <w:t>硕士研究生</w:t>
            </w:r>
          </w:p>
        </w:tc>
        <w:tc>
          <w:tcPr>
            <w:tcW w:w="1276" w:type="dxa"/>
            <w:vMerge w:val="restart"/>
            <w:tcBorders>
              <w:left w:val="single" w:color="auto" w:sz="4" w:space="0"/>
            </w:tcBorders>
            <w:vAlign w:val="center"/>
          </w:tcPr>
          <w:p>
            <w:pPr>
              <w:spacing w:line="520" w:lineRule="exact"/>
              <w:jc w:val="center"/>
              <w:rPr>
                <w:rFonts w:ascii="宋体" w:cs="仿宋_GB2312"/>
                <w:szCs w:val="21"/>
              </w:rPr>
            </w:pPr>
            <w:r>
              <w:rPr>
                <w:rFonts w:hint="eastAsia" w:ascii="宋体" w:hAnsi="宋体" w:cs="仿宋_GB2312"/>
                <w:szCs w:val="21"/>
              </w:rPr>
              <w:t>新生</w:t>
            </w:r>
          </w:p>
        </w:tc>
        <w:tc>
          <w:tcPr>
            <w:tcW w:w="1701" w:type="dxa"/>
            <w:vAlign w:val="center"/>
          </w:tcPr>
          <w:p>
            <w:pPr>
              <w:spacing w:line="520" w:lineRule="exact"/>
              <w:jc w:val="center"/>
              <w:rPr>
                <w:rFonts w:ascii="宋体" w:cs="仿宋_GB2312"/>
                <w:szCs w:val="21"/>
              </w:rPr>
            </w:pPr>
            <w:r>
              <w:rPr>
                <w:rFonts w:hint="eastAsia" w:ascii="宋体" w:hAnsi="宋体" w:cs="仿宋_GB2312"/>
                <w:szCs w:val="21"/>
              </w:rPr>
              <w:t>推免生</w:t>
            </w:r>
          </w:p>
        </w:tc>
        <w:tc>
          <w:tcPr>
            <w:tcW w:w="1417" w:type="dxa"/>
            <w:vAlign w:val="center"/>
          </w:tcPr>
          <w:p>
            <w:pPr>
              <w:spacing w:line="520" w:lineRule="exact"/>
              <w:jc w:val="center"/>
              <w:rPr>
                <w:rFonts w:ascii="宋体" w:cs="仿宋_GB2312"/>
                <w:szCs w:val="21"/>
              </w:rPr>
            </w:pPr>
            <w:r>
              <w:rPr>
                <w:rFonts w:ascii="宋体" w:hAnsi="宋体" w:cs="仿宋_GB2312"/>
                <w:szCs w:val="21"/>
              </w:rPr>
              <w:t xml:space="preserve"> </w:t>
            </w:r>
          </w:p>
        </w:tc>
        <w:tc>
          <w:tcPr>
            <w:tcW w:w="2127" w:type="dxa"/>
            <w:vAlign w:val="center"/>
          </w:tcPr>
          <w:p>
            <w:pPr>
              <w:spacing w:line="520" w:lineRule="exact"/>
              <w:jc w:val="center"/>
              <w:rPr>
                <w:rFonts w:ascii="宋体" w:cs="仿宋_GB2312"/>
                <w:szCs w:val="21"/>
              </w:rPr>
            </w:pPr>
            <w:r>
              <w:rPr>
                <w:rFonts w:ascii="宋体" w:hAnsi="宋体" w:cs="仿宋_GB2312"/>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7" w:type="dxa"/>
            <w:vMerge w:val="continue"/>
            <w:tcBorders>
              <w:right w:val="single" w:color="auto" w:sz="4" w:space="0"/>
            </w:tcBorders>
            <w:vAlign w:val="center"/>
          </w:tcPr>
          <w:p>
            <w:pPr>
              <w:spacing w:line="520" w:lineRule="exact"/>
              <w:jc w:val="center"/>
              <w:rPr>
                <w:rFonts w:ascii="宋体" w:cs="仿宋_GB2312"/>
                <w:szCs w:val="21"/>
              </w:rPr>
            </w:pPr>
          </w:p>
        </w:tc>
        <w:tc>
          <w:tcPr>
            <w:tcW w:w="1276" w:type="dxa"/>
            <w:vMerge w:val="continue"/>
            <w:tcBorders>
              <w:left w:val="single" w:color="auto" w:sz="4" w:space="0"/>
              <w:bottom w:val="single" w:color="auto" w:sz="4" w:space="0"/>
            </w:tcBorders>
            <w:vAlign w:val="center"/>
          </w:tcPr>
          <w:p>
            <w:pPr>
              <w:spacing w:line="520" w:lineRule="exact"/>
              <w:jc w:val="center"/>
              <w:rPr>
                <w:rFonts w:ascii="宋体" w:cs="仿宋_GB2312"/>
                <w:szCs w:val="21"/>
              </w:rPr>
            </w:pPr>
          </w:p>
        </w:tc>
        <w:tc>
          <w:tcPr>
            <w:tcW w:w="1701" w:type="dxa"/>
            <w:vAlign w:val="center"/>
          </w:tcPr>
          <w:p>
            <w:pPr>
              <w:spacing w:line="520" w:lineRule="exact"/>
              <w:jc w:val="center"/>
              <w:rPr>
                <w:rFonts w:ascii="宋体" w:cs="仿宋_GB2312"/>
                <w:szCs w:val="21"/>
              </w:rPr>
            </w:pPr>
            <w:r>
              <w:rPr>
                <w:rFonts w:hint="eastAsia" w:ascii="宋体" w:hAnsi="宋体" w:cs="仿宋_GB2312"/>
                <w:szCs w:val="21"/>
              </w:rPr>
              <w:t>非推免生</w:t>
            </w:r>
          </w:p>
        </w:tc>
        <w:tc>
          <w:tcPr>
            <w:tcW w:w="1417" w:type="dxa"/>
            <w:vAlign w:val="center"/>
          </w:tcPr>
          <w:p>
            <w:pPr>
              <w:spacing w:line="520" w:lineRule="exact"/>
              <w:jc w:val="center"/>
              <w:rPr>
                <w:rFonts w:ascii="宋体" w:cs="仿宋_GB2312"/>
                <w:szCs w:val="21"/>
              </w:rPr>
            </w:pPr>
          </w:p>
        </w:tc>
        <w:tc>
          <w:tcPr>
            <w:tcW w:w="2127" w:type="dxa"/>
            <w:vAlign w:val="center"/>
          </w:tcPr>
          <w:p>
            <w:pPr>
              <w:spacing w:line="520" w:lineRule="exact"/>
              <w:jc w:val="center"/>
              <w:rPr>
                <w:rFonts w:ascii="宋体" w:cs="仿宋_GB2312"/>
                <w:szCs w:val="21"/>
              </w:rPr>
            </w:pPr>
            <w:r>
              <w:rPr>
                <w:rFonts w:ascii="宋体" w:hAnsi="宋体" w:cs="仿宋_GB2312"/>
                <w:szCs w:val="21"/>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7" w:type="dxa"/>
            <w:vMerge w:val="continue"/>
            <w:tcBorders>
              <w:right w:val="single" w:color="auto" w:sz="4" w:space="0"/>
            </w:tcBorders>
            <w:vAlign w:val="center"/>
          </w:tcPr>
          <w:p>
            <w:pPr>
              <w:spacing w:line="520" w:lineRule="exact"/>
              <w:jc w:val="center"/>
              <w:rPr>
                <w:rFonts w:ascii="宋体" w:cs="仿宋_GB2312"/>
                <w:szCs w:val="21"/>
              </w:rPr>
            </w:pPr>
          </w:p>
        </w:tc>
        <w:tc>
          <w:tcPr>
            <w:tcW w:w="1276" w:type="dxa"/>
            <w:vMerge w:val="restart"/>
            <w:tcBorders>
              <w:top w:val="single" w:color="auto" w:sz="4" w:space="0"/>
              <w:left w:val="single" w:color="auto" w:sz="4" w:space="0"/>
            </w:tcBorders>
            <w:vAlign w:val="center"/>
          </w:tcPr>
          <w:p>
            <w:pPr>
              <w:spacing w:line="520" w:lineRule="exact"/>
              <w:jc w:val="center"/>
              <w:rPr>
                <w:rFonts w:ascii="宋体" w:cs="仿宋_GB2312"/>
                <w:szCs w:val="21"/>
              </w:rPr>
            </w:pPr>
            <w:r>
              <w:rPr>
                <w:rFonts w:hint="eastAsia" w:ascii="宋体" w:hAnsi="宋体" w:cs="仿宋_GB2312"/>
                <w:szCs w:val="21"/>
              </w:rPr>
              <w:t>高年级</w:t>
            </w:r>
          </w:p>
        </w:tc>
        <w:tc>
          <w:tcPr>
            <w:tcW w:w="1701" w:type="dxa"/>
            <w:vAlign w:val="center"/>
          </w:tcPr>
          <w:p>
            <w:pPr>
              <w:spacing w:line="520" w:lineRule="exact"/>
              <w:jc w:val="center"/>
              <w:rPr>
                <w:rFonts w:ascii="宋体" w:cs="仿宋_GB2312"/>
                <w:szCs w:val="21"/>
              </w:rPr>
            </w:pPr>
            <w:r>
              <w:rPr>
                <w:rFonts w:hint="eastAsia" w:ascii="宋体" w:hAnsi="宋体" w:cs="仿宋_GB2312"/>
                <w:szCs w:val="21"/>
              </w:rPr>
              <w:t>一等</w:t>
            </w:r>
          </w:p>
        </w:tc>
        <w:tc>
          <w:tcPr>
            <w:tcW w:w="1417" w:type="dxa"/>
            <w:vAlign w:val="center"/>
          </w:tcPr>
          <w:p>
            <w:pPr>
              <w:spacing w:line="520" w:lineRule="exact"/>
              <w:jc w:val="center"/>
              <w:rPr>
                <w:rFonts w:ascii="宋体" w:cs="仿宋_GB2312"/>
                <w:szCs w:val="21"/>
              </w:rPr>
            </w:pPr>
            <w:r>
              <w:rPr>
                <w:rFonts w:ascii="宋体" w:hAnsi="宋体" w:cs="仿宋_GB2312"/>
                <w:szCs w:val="21"/>
              </w:rPr>
              <w:t>30%</w:t>
            </w:r>
          </w:p>
        </w:tc>
        <w:tc>
          <w:tcPr>
            <w:tcW w:w="2127" w:type="dxa"/>
            <w:vAlign w:val="center"/>
          </w:tcPr>
          <w:p>
            <w:pPr>
              <w:spacing w:line="520" w:lineRule="exact"/>
              <w:jc w:val="center"/>
              <w:rPr>
                <w:rFonts w:ascii="宋体" w:cs="仿宋_GB2312"/>
                <w:szCs w:val="21"/>
              </w:rPr>
            </w:pPr>
            <w:r>
              <w:rPr>
                <w:rFonts w:ascii="宋体" w:hAnsi="宋体" w:cs="仿宋_GB2312"/>
                <w:szCs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7" w:type="dxa"/>
            <w:vMerge w:val="continue"/>
            <w:tcBorders>
              <w:right w:val="single" w:color="auto" w:sz="4" w:space="0"/>
            </w:tcBorders>
            <w:vAlign w:val="center"/>
          </w:tcPr>
          <w:p>
            <w:pPr>
              <w:rPr>
                <w:rFonts w:ascii="宋体"/>
                <w:szCs w:val="21"/>
              </w:rPr>
            </w:pPr>
          </w:p>
        </w:tc>
        <w:tc>
          <w:tcPr>
            <w:tcW w:w="1276" w:type="dxa"/>
            <w:vMerge w:val="continue"/>
            <w:tcBorders>
              <w:left w:val="single" w:color="auto" w:sz="4" w:space="0"/>
            </w:tcBorders>
            <w:vAlign w:val="center"/>
          </w:tcPr>
          <w:p>
            <w:pPr>
              <w:rPr>
                <w:rFonts w:ascii="宋体"/>
                <w:szCs w:val="21"/>
              </w:rPr>
            </w:pPr>
          </w:p>
        </w:tc>
        <w:tc>
          <w:tcPr>
            <w:tcW w:w="1701" w:type="dxa"/>
            <w:vAlign w:val="center"/>
          </w:tcPr>
          <w:p>
            <w:pPr>
              <w:spacing w:line="520" w:lineRule="exact"/>
              <w:jc w:val="center"/>
              <w:rPr>
                <w:rFonts w:ascii="宋体" w:cs="仿宋_GB2312"/>
                <w:szCs w:val="21"/>
              </w:rPr>
            </w:pPr>
            <w:r>
              <w:rPr>
                <w:rFonts w:hint="eastAsia" w:ascii="宋体" w:hAnsi="宋体" w:cs="仿宋_GB2312"/>
                <w:szCs w:val="21"/>
              </w:rPr>
              <w:t>二等</w:t>
            </w:r>
          </w:p>
        </w:tc>
        <w:tc>
          <w:tcPr>
            <w:tcW w:w="1417" w:type="dxa"/>
            <w:vAlign w:val="center"/>
          </w:tcPr>
          <w:p>
            <w:pPr>
              <w:spacing w:line="520" w:lineRule="exact"/>
              <w:jc w:val="center"/>
              <w:rPr>
                <w:rFonts w:ascii="宋体" w:cs="仿宋_GB2312"/>
                <w:szCs w:val="21"/>
              </w:rPr>
            </w:pPr>
            <w:r>
              <w:rPr>
                <w:rFonts w:ascii="宋体" w:hAnsi="宋体" w:cs="仿宋_GB2312"/>
                <w:szCs w:val="21"/>
              </w:rPr>
              <w:t>60%</w:t>
            </w:r>
          </w:p>
        </w:tc>
        <w:tc>
          <w:tcPr>
            <w:tcW w:w="2127" w:type="dxa"/>
            <w:vAlign w:val="center"/>
          </w:tcPr>
          <w:p>
            <w:pPr>
              <w:spacing w:line="520" w:lineRule="exact"/>
              <w:jc w:val="center"/>
              <w:rPr>
                <w:rFonts w:ascii="宋体" w:cs="仿宋_GB2312"/>
                <w:szCs w:val="21"/>
              </w:rPr>
            </w:pPr>
            <w:r>
              <w:rPr>
                <w:rFonts w:ascii="宋体" w:hAnsi="宋体" w:cs="仿宋_GB2312"/>
                <w:szCs w:val="21"/>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17" w:type="dxa"/>
            <w:vMerge w:val="continue"/>
            <w:tcBorders>
              <w:right w:val="single" w:color="auto" w:sz="4" w:space="0"/>
            </w:tcBorders>
            <w:vAlign w:val="center"/>
          </w:tcPr>
          <w:p>
            <w:pPr>
              <w:rPr>
                <w:rFonts w:ascii="宋体"/>
                <w:szCs w:val="21"/>
              </w:rPr>
            </w:pPr>
          </w:p>
        </w:tc>
        <w:tc>
          <w:tcPr>
            <w:tcW w:w="1276" w:type="dxa"/>
            <w:vMerge w:val="continue"/>
            <w:tcBorders>
              <w:left w:val="single" w:color="auto" w:sz="4" w:space="0"/>
            </w:tcBorders>
            <w:vAlign w:val="center"/>
          </w:tcPr>
          <w:p>
            <w:pPr>
              <w:rPr>
                <w:rFonts w:ascii="宋体"/>
                <w:szCs w:val="21"/>
              </w:rPr>
            </w:pPr>
          </w:p>
        </w:tc>
        <w:tc>
          <w:tcPr>
            <w:tcW w:w="1701" w:type="dxa"/>
            <w:vAlign w:val="center"/>
          </w:tcPr>
          <w:p>
            <w:pPr>
              <w:spacing w:line="520" w:lineRule="exact"/>
              <w:jc w:val="center"/>
              <w:rPr>
                <w:rFonts w:ascii="宋体" w:cs="仿宋_GB2312"/>
                <w:szCs w:val="21"/>
              </w:rPr>
            </w:pPr>
            <w:r>
              <w:rPr>
                <w:rFonts w:hint="eastAsia" w:ascii="宋体" w:hAnsi="宋体" w:cs="仿宋_GB2312"/>
                <w:szCs w:val="21"/>
              </w:rPr>
              <w:t>三等</w:t>
            </w:r>
          </w:p>
        </w:tc>
        <w:tc>
          <w:tcPr>
            <w:tcW w:w="1417" w:type="dxa"/>
            <w:vAlign w:val="center"/>
          </w:tcPr>
          <w:p>
            <w:pPr>
              <w:spacing w:line="520" w:lineRule="exact"/>
              <w:jc w:val="center"/>
              <w:rPr>
                <w:rFonts w:ascii="宋体" w:cs="仿宋_GB2312"/>
                <w:szCs w:val="21"/>
              </w:rPr>
            </w:pPr>
            <w:r>
              <w:rPr>
                <w:rFonts w:ascii="宋体" w:hAnsi="宋体" w:cs="仿宋_GB2312"/>
                <w:szCs w:val="21"/>
              </w:rPr>
              <w:t>10%</w:t>
            </w:r>
          </w:p>
        </w:tc>
        <w:tc>
          <w:tcPr>
            <w:tcW w:w="2127" w:type="dxa"/>
            <w:vAlign w:val="center"/>
          </w:tcPr>
          <w:p>
            <w:pPr>
              <w:spacing w:line="520" w:lineRule="exact"/>
              <w:jc w:val="center"/>
              <w:rPr>
                <w:rFonts w:ascii="宋体" w:cs="仿宋_GB2312"/>
                <w:szCs w:val="21"/>
              </w:rPr>
            </w:pPr>
            <w:r>
              <w:rPr>
                <w:rFonts w:ascii="宋体" w:hAnsi="宋体" w:cs="仿宋_GB2312"/>
                <w:szCs w:val="21"/>
              </w:rPr>
              <w:t>0.5</w:t>
            </w:r>
          </w:p>
        </w:tc>
      </w:tr>
    </w:tbl>
    <w:p>
      <w:pPr>
        <w:widowControl/>
        <w:spacing w:line="500" w:lineRule="exact"/>
        <w:ind w:firstLine="420"/>
        <w:rPr>
          <w:rFonts w:ascii="仿宋_GB2312" w:hAnsi="宋体" w:eastAsia="仿宋_GB2312" w:cs="Arial"/>
          <w:kern w:val="0"/>
          <w:sz w:val="24"/>
        </w:rPr>
      </w:pPr>
      <w:r>
        <w:rPr>
          <w:rFonts w:ascii="仿宋_GB2312" w:hAnsi="宋体" w:eastAsia="仿宋_GB2312" w:cs="Arial"/>
          <w:kern w:val="0"/>
          <w:sz w:val="24"/>
        </w:rPr>
        <w:t>6</w:t>
      </w:r>
      <w:r>
        <w:rPr>
          <w:rFonts w:hint="eastAsia" w:ascii="仿宋_GB2312" w:hAnsi="宋体" w:eastAsia="仿宋_GB2312" w:cs="Arial"/>
          <w:kern w:val="0"/>
          <w:sz w:val="24"/>
        </w:rPr>
        <w:t>、全日制全脱产研究生（人事档案和工资关系转入学校、含“强军计划”、“骨干计划”考生）可享受研究生国家助学金：推免生为</w:t>
      </w:r>
      <w:r>
        <w:rPr>
          <w:rFonts w:ascii="仿宋_GB2312" w:hAnsi="宋体" w:eastAsia="仿宋_GB2312" w:cs="Arial"/>
          <w:kern w:val="0"/>
          <w:sz w:val="24"/>
        </w:rPr>
        <w:t>8000</w:t>
      </w:r>
      <w:r>
        <w:rPr>
          <w:rFonts w:hint="eastAsia" w:ascii="仿宋_GB2312" w:hAnsi="宋体" w:eastAsia="仿宋_GB2312" w:cs="Arial"/>
          <w:kern w:val="0"/>
          <w:sz w:val="24"/>
        </w:rPr>
        <w:t>元</w:t>
      </w:r>
      <w:r>
        <w:rPr>
          <w:rFonts w:ascii="仿宋_GB2312" w:hAnsi="宋体" w:eastAsia="仿宋_GB2312" w:cs="Arial"/>
          <w:kern w:val="0"/>
          <w:sz w:val="24"/>
        </w:rPr>
        <w:t>/</w:t>
      </w:r>
      <w:r>
        <w:rPr>
          <w:rFonts w:hint="eastAsia" w:ascii="仿宋_GB2312" w:hAnsi="宋体" w:eastAsia="仿宋_GB2312" w:cs="Arial"/>
          <w:kern w:val="0"/>
          <w:sz w:val="24"/>
        </w:rPr>
        <w:t>生</w:t>
      </w:r>
      <w:r>
        <w:rPr>
          <w:rFonts w:ascii="仿宋_GB2312" w:hAnsi="宋体" w:eastAsia="仿宋_GB2312" w:cs="Arial"/>
          <w:kern w:val="0"/>
          <w:sz w:val="24"/>
        </w:rPr>
        <w:t>.</w:t>
      </w:r>
      <w:r>
        <w:rPr>
          <w:rFonts w:hint="eastAsia" w:ascii="仿宋_GB2312" w:hAnsi="宋体" w:eastAsia="仿宋_GB2312" w:cs="Arial"/>
          <w:kern w:val="0"/>
          <w:sz w:val="24"/>
        </w:rPr>
        <w:t>年；非推免生为</w:t>
      </w:r>
      <w:r>
        <w:rPr>
          <w:rFonts w:ascii="仿宋_GB2312" w:hAnsi="宋体" w:eastAsia="仿宋_GB2312" w:cs="Arial"/>
          <w:kern w:val="0"/>
          <w:sz w:val="24"/>
        </w:rPr>
        <w:t>6000</w:t>
      </w:r>
      <w:r>
        <w:rPr>
          <w:rFonts w:hint="eastAsia" w:ascii="仿宋_GB2312" w:hAnsi="宋体" w:eastAsia="仿宋_GB2312" w:cs="Arial"/>
          <w:kern w:val="0"/>
          <w:sz w:val="24"/>
        </w:rPr>
        <w:t>元</w:t>
      </w:r>
      <w:r>
        <w:rPr>
          <w:rFonts w:ascii="仿宋_GB2312" w:hAnsi="宋体" w:eastAsia="仿宋_GB2312" w:cs="Arial"/>
          <w:kern w:val="0"/>
          <w:sz w:val="24"/>
        </w:rPr>
        <w:t>/</w:t>
      </w:r>
      <w:r>
        <w:rPr>
          <w:rFonts w:hint="eastAsia" w:ascii="仿宋_GB2312" w:hAnsi="宋体" w:eastAsia="仿宋_GB2312" w:cs="Arial"/>
          <w:kern w:val="0"/>
          <w:sz w:val="24"/>
        </w:rPr>
        <w:t>生</w:t>
      </w:r>
      <w:r>
        <w:rPr>
          <w:rFonts w:ascii="仿宋_GB2312" w:hAnsi="宋体" w:eastAsia="仿宋_GB2312" w:cs="Arial"/>
          <w:kern w:val="0"/>
          <w:sz w:val="24"/>
        </w:rPr>
        <w:t>.</w:t>
      </w:r>
      <w:r>
        <w:rPr>
          <w:rFonts w:hint="eastAsia" w:ascii="仿宋_GB2312" w:hAnsi="宋体" w:eastAsia="仿宋_GB2312" w:cs="Arial"/>
          <w:kern w:val="0"/>
          <w:sz w:val="24"/>
        </w:rPr>
        <w:t>年。</w:t>
      </w:r>
    </w:p>
    <w:p>
      <w:pPr>
        <w:widowControl/>
        <w:spacing w:line="500" w:lineRule="exact"/>
        <w:ind w:firstLine="420"/>
        <w:rPr>
          <w:rFonts w:ascii="仿宋_GB2312" w:hAnsi="宋体" w:eastAsia="仿宋_GB2312" w:cs="Arial"/>
          <w:kern w:val="0"/>
          <w:sz w:val="24"/>
        </w:rPr>
      </w:pPr>
      <w:r>
        <w:rPr>
          <w:rFonts w:ascii="仿宋_GB2312" w:hAnsi="宋体" w:eastAsia="仿宋_GB2312" w:cs="Arial"/>
          <w:kern w:val="0"/>
          <w:sz w:val="24"/>
        </w:rPr>
        <w:t>7</w:t>
      </w:r>
      <w:r>
        <w:rPr>
          <w:rFonts w:hint="eastAsia" w:ascii="仿宋_GB2312" w:hAnsi="宋体" w:eastAsia="仿宋_GB2312" w:cs="Arial"/>
          <w:kern w:val="0"/>
          <w:sz w:val="24"/>
        </w:rPr>
        <w:t>、获得奖学金的新生须按录取通知书中规定的时间先缴纳学费，入学后学校根据录取时确定的奖学金等级发放奖学金，但人事档案、工资关系未按时转入我校的新生，将被取消奖、助学金。</w:t>
      </w:r>
    </w:p>
    <w:p>
      <w:pPr>
        <w:widowControl/>
        <w:spacing w:line="500" w:lineRule="exact"/>
        <w:ind w:firstLine="420"/>
        <w:rPr>
          <w:rFonts w:ascii="仿宋_GB2312" w:hAnsi="宋体" w:eastAsia="仿宋_GB2312" w:cs="Arial"/>
          <w:kern w:val="0"/>
          <w:sz w:val="24"/>
        </w:rPr>
      </w:pPr>
      <w:r>
        <w:rPr>
          <w:rFonts w:ascii="仿宋_GB2312" w:hAnsi="宋体" w:eastAsia="仿宋_GB2312" w:cs="Arial"/>
          <w:kern w:val="0"/>
          <w:sz w:val="24"/>
        </w:rPr>
        <w:t>8</w:t>
      </w:r>
      <w:r>
        <w:rPr>
          <w:rFonts w:hint="eastAsia" w:ascii="仿宋_GB2312" w:hAnsi="宋体" w:eastAsia="仿宋_GB2312" w:cs="Arial"/>
          <w:kern w:val="0"/>
          <w:sz w:val="24"/>
        </w:rPr>
        <w:t>、</w:t>
      </w:r>
      <w:r>
        <w:rPr>
          <w:rFonts w:ascii="仿宋_GB2312" w:hAnsi="宋体" w:eastAsia="仿宋_GB2312" w:cs="Arial"/>
          <w:kern w:val="0"/>
          <w:sz w:val="24"/>
        </w:rPr>
        <w:t>2018</w:t>
      </w:r>
      <w:r>
        <w:rPr>
          <w:rFonts w:hint="eastAsia" w:ascii="仿宋_GB2312" w:hAnsi="宋体" w:eastAsia="仿宋_GB2312" w:cs="Arial"/>
          <w:kern w:val="0"/>
          <w:sz w:val="24"/>
        </w:rPr>
        <w:t>年全日制、非全日制硕士研究生收费标准如下：</w:t>
      </w:r>
    </w:p>
    <w:p>
      <w:pPr>
        <w:snapToGrid w:val="0"/>
        <w:spacing w:line="400" w:lineRule="exact"/>
        <w:ind w:right="-118" w:rightChars="-56"/>
        <w:jc w:val="center"/>
        <w:rPr>
          <w:rFonts w:hAnsi="宋体" w:cs="宋体"/>
          <w:b/>
          <w:sz w:val="24"/>
        </w:rPr>
      </w:pPr>
      <w:r>
        <w:rPr>
          <w:rFonts w:hAnsi="宋体"/>
          <w:b/>
          <w:bCs/>
          <w:sz w:val="24"/>
        </w:rPr>
        <w:t>2018</w:t>
      </w:r>
      <w:r>
        <w:rPr>
          <w:rFonts w:hint="eastAsia" w:hAnsi="宋体" w:cs="宋体"/>
          <w:b/>
          <w:bCs/>
          <w:sz w:val="24"/>
        </w:rPr>
        <w:t>年全日制、非全日制硕士研究生收费标准</w:t>
      </w:r>
      <w:r>
        <w:rPr>
          <w:rFonts w:hint="eastAsia" w:hAnsi="宋体" w:cs="宋体"/>
          <w:b/>
          <w:sz w:val="24"/>
        </w:rPr>
        <w:t>（单位：元</w:t>
      </w:r>
      <w:r>
        <w:rPr>
          <w:rFonts w:hAnsi="宋体"/>
          <w:b/>
          <w:sz w:val="24"/>
        </w:rPr>
        <w:t>/</w:t>
      </w:r>
      <w:r>
        <w:rPr>
          <w:rFonts w:hint="eastAsia" w:hAnsi="宋体" w:cs="宋体"/>
          <w:b/>
          <w:sz w:val="24"/>
        </w:rPr>
        <w:t>人</w:t>
      </w:r>
      <w:r>
        <w:rPr>
          <w:rFonts w:hAnsi="宋体"/>
          <w:b/>
          <w:sz w:val="24"/>
        </w:rPr>
        <w:t>.</w:t>
      </w:r>
      <w:r>
        <w:rPr>
          <w:rFonts w:hint="eastAsia" w:hAnsi="宋体" w:cs="宋体"/>
          <w:b/>
          <w:sz w:val="24"/>
        </w:rPr>
        <w:t>年）</w:t>
      </w:r>
    </w:p>
    <w:tbl>
      <w:tblPr>
        <w:tblStyle w:val="7"/>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4024"/>
        <w:gridCol w:w="1275"/>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6213" w:type="dxa"/>
            <w:gridSpan w:val="2"/>
            <w:vAlign w:val="center"/>
          </w:tcPr>
          <w:p>
            <w:pPr>
              <w:spacing w:line="360" w:lineRule="exact"/>
              <w:ind w:firstLine="2530" w:firstLineChars="1200"/>
              <w:rPr>
                <w:rFonts w:hAnsi="宋体" w:cs="宋体"/>
                <w:b/>
                <w:bCs/>
              </w:rPr>
            </w:pPr>
            <w:r>
              <w:rPr>
                <w:rFonts w:hint="eastAsia" w:cs="宋体"/>
                <w:b/>
                <w:bCs/>
              </w:rPr>
              <w:t>类</w:t>
            </w:r>
            <w:r>
              <w:rPr>
                <w:b/>
                <w:bCs/>
              </w:rPr>
              <w:t xml:space="preserve">     </w:t>
            </w:r>
            <w:r>
              <w:rPr>
                <w:rFonts w:hint="eastAsia" w:cs="宋体"/>
                <w:b/>
                <w:bCs/>
              </w:rPr>
              <w:t>别</w:t>
            </w:r>
          </w:p>
        </w:tc>
        <w:tc>
          <w:tcPr>
            <w:tcW w:w="1275" w:type="dxa"/>
            <w:vAlign w:val="center"/>
          </w:tcPr>
          <w:p>
            <w:pPr>
              <w:spacing w:line="360" w:lineRule="exact"/>
              <w:jc w:val="center"/>
            </w:pPr>
            <w:r>
              <w:rPr>
                <w:rFonts w:hint="eastAsia" w:cs="宋体"/>
                <w:b/>
                <w:bCs/>
              </w:rPr>
              <w:t>学费</w:t>
            </w:r>
          </w:p>
        </w:tc>
        <w:tc>
          <w:tcPr>
            <w:tcW w:w="1357" w:type="dxa"/>
            <w:vAlign w:val="center"/>
          </w:tcPr>
          <w:p>
            <w:pPr>
              <w:spacing w:line="360" w:lineRule="exact"/>
              <w:jc w:val="center"/>
            </w:pPr>
            <w:r>
              <w:rPr>
                <w:rFonts w:hint="eastAsia" w:cs="宋体"/>
                <w:b/>
                <w:bCs/>
              </w:rPr>
              <w:t>学制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6213" w:type="dxa"/>
            <w:gridSpan w:val="2"/>
            <w:vAlign w:val="center"/>
          </w:tcPr>
          <w:p>
            <w:pPr>
              <w:spacing w:line="360" w:lineRule="exact"/>
              <w:rPr>
                <w:b/>
                <w:bCs/>
              </w:rPr>
            </w:pPr>
            <w:r>
              <w:rPr>
                <w:rFonts w:hint="eastAsia" w:hAnsi="宋体" w:cs="宋体"/>
                <w:b/>
                <w:bCs/>
              </w:rPr>
              <w:t>全日制</w:t>
            </w:r>
            <w:r>
              <w:rPr>
                <w:rFonts w:hint="eastAsia" w:cs="宋体"/>
                <w:b/>
                <w:bCs/>
              </w:rPr>
              <w:t>学术型专业</w:t>
            </w:r>
          </w:p>
        </w:tc>
        <w:tc>
          <w:tcPr>
            <w:tcW w:w="1275" w:type="dxa"/>
            <w:vAlign w:val="center"/>
          </w:tcPr>
          <w:p>
            <w:pPr>
              <w:spacing w:line="360" w:lineRule="exact"/>
              <w:jc w:val="center"/>
            </w:pPr>
            <w:r>
              <w:t>8000</w:t>
            </w:r>
          </w:p>
        </w:tc>
        <w:tc>
          <w:tcPr>
            <w:tcW w:w="1357" w:type="dxa"/>
            <w:vAlign w:val="center"/>
          </w:tcPr>
          <w:p>
            <w:pPr>
              <w:spacing w:line="360" w:lineRule="exact"/>
              <w:jc w:val="center"/>
            </w:pPr>
            <w:r>
              <w:t>3</w:t>
            </w:r>
            <w:r>
              <w:rPr>
                <w:rFonts w:hint="eastAsia"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89" w:type="dxa"/>
            <w:vMerge w:val="restart"/>
            <w:vAlign w:val="center"/>
          </w:tcPr>
          <w:p>
            <w:pPr>
              <w:spacing w:line="360" w:lineRule="exact"/>
              <w:jc w:val="left"/>
              <w:rPr>
                <w:rFonts w:cs="宋体"/>
                <w:b/>
                <w:bCs/>
              </w:rPr>
            </w:pPr>
            <w:r>
              <w:rPr>
                <w:rFonts w:hint="eastAsia" w:hAnsi="宋体" w:cs="宋体"/>
                <w:b/>
                <w:bCs/>
              </w:rPr>
              <w:t>非全日制</w:t>
            </w:r>
            <w:r>
              <w:rPr>
                <w:rFonts w:hint="eastAsia" w:cs="宋体"/>
                <w:b/>
                <w:bCs/>
              </w:rPr>
              <w:t>学术型专业</w:t>
            </w:r>
          </w:p>
          <w:p>
            <w:pPr>
              <w:spacing w:line="360" w:lineRule="exact"/>
              <w:jc w:val="left"/>
              <w:rPr>
                <w:rFonts w:cs="宋体"/>
                <w:b/>
                <w:bCs/>
              </w:rPr>
            </w:pPr>
          </w:p>
          <w:p>
            <w:pPr>
              <w:spacing w:line="360" w:lineRule="exact"/>
              <w:jc w:val="left"/>
              <w:rPr>
                <w:rFonts w:cs="宋体"/>
                <w:b/>
                <w:bCs/>
              </w:rPr>
            </w:pPr>
            <w:r>
              <w:rPr>
                <w:rFonts w:hint="eastAsia" w:cs="宋体"/>
                <w:b/>
                <w:bCs/>
              </w:rPr>
              <w:t>全日制专业学位专业</w:t>
            </w:r>
          </w:p>
          <w:p>
            <w:pPr>
              <w:spacing w:line="360" w:lineRule="exact"/>
              <w:jc w:val="left"/>
              <w:rPr>
                <w:rFonts w:cs="宋体"/>
                <w:b/>
                <w:bCs/>
              </w:rPr>
            </w:pPr>
            <w:r>
              <w:rPr>
                <w:rFonts w:hint="eastAsia" w:cs="宋体"/>
                <w:b/>
                <w:bCs/>
              </w:rPr>
              <w:t>和非全日制专业学位专业</w:t>
            </w:r>
          </w:p>
          <w:p>
            <w:pPr>
              <w:spacing w:line="360" w:lineRule="exact"/>
              <w:jc w:val="left"/>
              <w:rPr>
                <w:rFonts w:cs="宋体"/>
              </w:rPr>
            </w:pPr>
          </w:p>
          <w:p>
            <w:pPr>
              <w:spacing w:line="360" w:lineRule="exact"/>
              <w:jc w:val="left"/>
              <w:rPr>
                <w:rFonts w:cs="宋体"/>
                <w:b/>
              </w:rPr>
            </w:pPr>
            <w:r>
              <w:rPr>
                <w:rFonts w:hint="eastAsia" w:cs="宋体"/>
                <w:b/>
              </w:rPr>
              <w:t>（按括号内专业代码对应）</w:t>
            </w:r>
          </w:p>
          <w:p>
            <w:pPr>
              <w:spacing w:line="360" w:lineRule="exact"/>
              <w:jc w:val="left"/>
              <w:rPr>
                <w:rFonts w:cs="宋体"/>
                <w:b/>
              </w:rPr>
            </w:pPr>
          </w:p>
          <w:p>
            <w:pPr>
              <w:spacing w:line="360" w:lineRule="exact"/>
              <w:jc w:val="left"/>
              <w:rPr>
                <w:rFonts w:cs="宋体"/>
                <w:b/>
              </w:rPr>
            </w:pPr>
          </w:p>
          <w:p>
            <w:pPr>
              <w:spacing w:line="360" w:lineRule="exact"/>
              <w:jc w:val="left"/>
              <w:rPr>
                <w:b/>
              </w:rPr>
            </w:pPr>
          </w:p>
        </w:tc>
        <w:tc>
          <w:tcPr>
            <w:tcW w:w="4024" w:type="dxa"/>
            <w:vAlign w:val="center"/>
          </w:tcPr>
          <w:p>
            <w:pPr>
              <w:spacing w:line="360" w:lineRule="exact"/>
              <w:ind w:leftChars="-2" w:hanging="4" w:hangingChars="2"/>
              <w:jc w:val="left"/>
            </w:pPr>
            <w:r>
              <w:rPr>
                <w:rFonts w:hint="eastAsia" w:cs="宋体"/>
              </w:rPr>
              <w:t>哲学类（</w:t>
            </w:r>
            <w:r>
              <w:t>01</w:t>
            </w:r>
            <w:r>
              <w:rPr>
                <w:rFonts w:hint="eastAsia" w:cs="宋体"/>
              </w:rPr>
              <w:t>）</w:t>
            </w:r>
          </w:p>
        </w:tc>
        <w:tc>
          <w:tcPr>
            <w:tcW w:w="1275" w:type="dxa"/>
            <w:vAlign w:val="center"/>
          </w:tcPr>
          <w:p>
            <w:pPr>
              <w:spacing w:line="360" w:lineRule="exact"/>
              <w:jc w:val="center"/>
            </w:pPr>
            <w:r>
              <w:t>8000</w:t>
            </w:r>
          </w:p>
        </w:tc>
        <w:tc>
          <w:tcPr>
            <w:tcW w:w="1357" w:type="dxa"/>
            <w:vAlign w:val="center"/>
          </w:tcPr>
          <w:p>
            <w:pPr>
              <w:spacing w:line="360" w:lineRule="exact"/>
              <w:jc w:val="center"/>
            </w:pPr>
            <w:r>
              <w:t>3</w:t>
            </w:r>
            <w:r>
              <w:rPr>
                <w:rFonts w:hint="eastAsia"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89" w:type="dxa"/>
            <w:vMerge w:val="continue"/>
            <w:vAlign w:val="center"/>
          </w:tcPr>
          <w:p>
            <w:pPr>
              <w:spacing w:line="360" w:lineRule="exact"/>
              <w:jc w:val="left"/>
              <w:rPr>
                <w:rFonts w:hAnsi="宋体" w:cs="宋体"/>
                <w:b/>
                <w:bCs/>
              </w:rPr>
            </w:pPr>
          </w:p>
        </w:tc>
        <w:tc>
          <w:tcPr>
            <w:tcW w:w="4024" w:type="dxa"/>
            <w:vAlign w:val="center"/>
          </w:tcPr>
          <w:p>
            <w:pPr>
              <w:spacing w:line="360" w:lineRule="exact"/>
              <w:ind w:leftChars="-2" w:hanging="4" w:hangingChars="2"/>
              <w:jc w:val="left"/>
            </w:pPr>
            <w:r>
              <w:rPr>
                <w:rFonts w:hint="eastAsia" w:cs="宋体"/>
              </w:rPr>
              <w:t>经济类（</w:t>
            </w:r>
            <w:r>
              <w:t>02</w:t>
            </w:r>
            <w:r>
              <w:rPr>
                <w:rFonts w:hint="eastAsia" w:cs="宋体"/>
              </w:rPr>
              <w:t>）</w:t>
            </w:r>
          </w:p>
        </w:tc>
        <w:tc>
          <w:tcPr>
            <w:tcW w:w="1275" w:type="dxa"/>
            <w:vAlign w:val="center"/>
          </w:tcPr>
          <w:p>
            <w:pPr>
              <w:spacing w:line="360" w:lineRule="exact"/>
              <w:jc w:val="center"/>
            </w:pPr>
            <w:r>
              <w:t>14000</w:t>
            </w:r>
          </w:p>
        </w:tc>
        <w:tc>
          <w:tcPr>
            <w:tcW w:w="1357" w:type="dxa"/>
            <w:vAlign w:val="center"/>
          </w:tcPr>
          <w:p>
            <w:pPr>
              <w:spacing w:line="360" w:lineRule="exact"/>
              <w:jc w:val="center"/>
            </w:pPr>
            <w:r>
              <w:t>3</w:t>
            </w:r>
            <w:r>
              <w:rPr>
                <w:rFonts w:hint="eastAsia"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2189" w:type="dxa"/>
            <w:vMerge w:val="continue"/>
            <w:vAlign w:val="center"/>
          </w:tcPr>
          <w:p>
            <w:pPr>
              <w:spacing w:line="360" w:lineRule="exact"/>
              <w:ind w:firstLine="480"/>
              <w:jc w:val="left"/>
            </w:pPr>
          </w:p>
        </w:tc>
        <w:tc>
          <w:tcPr>
            <w:tcW w:w="4024" w:type="dxa"/>
            <w:vAlign w:val="center"/>
          </w:tcPr>
          <w:p>
            <w:pPr>
              <w:spacing w:line="360" w:lineRule="exact"/>
              <w:ind w:leftChars="-2" w:hanging="4" w:hangingChars="2"/>
              <w:jc w:val="left"/>
            </w:pPr>
            <w:r>
              <w:rPr>
                <w:rFonts w:hint="eastAsia" w:cs="宋体"/>
              </w:rPr>
              <w:t>法学类（</w:t>
            </w:r>
            <w:r>
              <w:t>03</w:t>
            </w:r>
            <w:r>
              <w:rPr>
                <w:rFonts w:hint="eastAsia" w:cs="宋体"/>
              </w:rPr>
              <w:t>）</w:t>
            </w:r>
          </w:p>
        </w:tc>
        <w:tc>
          <w:tcPr>
            <w:tcW w:w="1275" w:type="dxa"/>
            <w:vAlign w:val="center"/>
          </w:tcPr>
          <w:p>
            <w:pPr>
              <w:spacing w:line="360" w:lineRule="exact"/>
              <w:jc w:val="center"/>
            </w:pPr>
            <w:r>
              <w:t>10000</w:t>
            </w:r>
          </w:p>
        </w:tc>
        <w:tc>
          <w:tcPr>
            <w:tcW w:w="1357" w:type="dxa"/>
            <w:vAlign w:val="center"/>
          </w:tcPr>
          <w:p>
            <w:pPr>
              <w:spacing w:line="360" w:lineRule="exact"/>
              <w:jc w:val="center"/>
            </w:pPr>
            <w:r>
              <w:t>3</w:t>
            </w:r>
            <w:r>
              <w:rPr>
                <w:rFonts w:hint="eastAsia"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189" w:type="dxa"/>
            <w:vMerge w:val="continue"/>
            <w:vAlign w:val="center"/>
          </w:tcPr>
          <w:p>
            <w:pPr>
              <w:spacing w:line="360" w:lineRule="exact"/>
              <w:ind w:firstLine="480"/>
              <w:jc w:val="left"/>
            </w:pPr>
          </w:p>
        </w:tc>
        <w:tc>
          <w:tcPr>
            <w:tcW w:w="4024" w:type="dxa"/>
            <w:vAlign w:val="center"/>
          </w:tcPr>
          <w:p>
            <w:pPr>
              <w:spacing w:line="360" w:lineRule="exact"/>
              <w:ind w:leftChars="-2" w:hanging="4" w:hangingChars="2"/>
              <w:jc w:val="left"/>
            </w:pPr>
            <w:r>
              <w:rPr>
                <w:rFonts w:hint="eastAsia" w:cs="宋体"/>
              </w:rPr>
              <w:t>教育类（</w:t>
            </w:r>
            <w:r>
              <w:t>04</w:t>
            </w:r>
            <w:r>
              <w:rPr>
                <w:rFonts w:hint="eastAsia" w:cs="宋体"/>
              </w:rPr>
              <w:t>）</w:t>
            </w:r>
          </w:p>
        </w:tc>
        <w:tc>
          <w:tcPr>
            <w:tcW w:w="1275" w:type="dxa"/>
            <w:vAlign w:val="center"/>
          </w:tcPr>
          <w:p>
            <w:pPr>
              <w:spacing w:line="360" w:lineRule="exact"/>
              <w:jc w:val="center"/>
            </w:pPr>
            <w:r>
              <w:t>10000</w:t>
            </w:r>
          </w:p>
        </w:tc>
        <w:tc>
          <w:tcPr>
            <w:tcW w:w="1357" w:type="dxa"/>
            <w:vAlign w:val="center"/>
          </w:tcPr>
          <w:p>
            <w:pPr>
              <w:spacing w:line="360" w:lineRule="exact"/>
              <w:jc w:val="center"/>
            </w:pPr>
            <w:r>
              <w:t>3</w:t>
            </w:r>
            <w:r>
              <w:rPr>
                <w:rFonts w:hint="eastAsia"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2189" w:type="dxa"/>
            <w:vMerge w:val="continue"/>
            <w:vAlign w:val="center"/>
          </w:tcPr>
          <w:p>
            <w:pPr>
              <w:spacing w:line="360" w:lineRule="exact"/>
              <w:ind w:firstLine="480"/>
              <w:jc w:val="left"/>
            </w:pPr>
          </w:p>
        </w:tc>
        <w:tc>
          <w:tcPr>
            <w:tcW w:w="4024" w:type="dxa"/>
            <w:vAlign w:val="center"/>
          </w:tcPr>
          <w:p>
            <w:pPr>
              <w:spacing w:line="360" w:lineRule="exact"/>
              <w:ind w:leftChars="-2" w:hanging="4" w:hangingChars="2"/>
              <w:jc w:val="left"/>
            </w:pPr>
            <w:r>
              <w:rPr>
                <w:rFonts w:hint="eastAsia" w:cs="宋体"/>
              </w:rPr>
              <w:t>文学类（</w:t>
            </w:r>
            <w:r>
              <w:t>05</w:t>
            </w:r>
            <w:r>
              <w:rPr>
                <w:rFonts w:hint="eastAsia" w:cs="宋体"/>
              </w:rPr>
              <w:t>）</w:t>
            </w:r>
          </w:p>
        </w:tc>
        <w:tc>
          <w:tcPr>
            <w:tcW w:w="1275" w:type="dxa"/>
            <w:vAlign w:val="center"/>
          </w:tcPr>
          <w:p>
            <w:pPr>
              <w:spacing w:line="360" w:lineRule="exact"/>
              <w:jc w:val="center"/>
            </w:pPr>
            <w:r>
              <w:t>13000</w:t>
            </w:r>
          </w:p>
        </w:tc>
        <w:tc>
          <w:tcPr>
            <w:tcW w:w="1357" w:type="dxa"/>
            <w:vAlign w:val="center"/>
          </w:tcPr>
          <w:p>
            <w:pPr>
              <w:spacing w:line="360" w:lineRule="exact"/>
              <w:jc w:val="center"/>
            </w:pPr>
            <w:r>
              <w:t>3</w:t>
            </w:r>
            <w:r>
              <w:rPr>
                <w:rFonts w:hint="eastAsia"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2189" w:type="dxa"/>
            <w:vMerge w:val="continue"/>
            <w:vAlign w:val="center"/>
          </w:tcPr>
          <w:p>
            <w:pPr>
              <w:spacing w:line="360" w:lineRule="exact"/>
              <w:ind w:firstLine="480"/>
              <w:jc w:val="left"/>
            </w:pPr>
          </w:p>
        </w:tc>
        <w:tc>
          <w:tcPr>
            <w:tcW w:w="4024" w:type="dxa"/>
            <w:vAlign w:val="center"/>
          </w:tcPr>
          <w:p>
            <w:pPr>
              <w:spacing w:line="360" w:lineRule="exact"/>
              <w:ind w:leftChars="-2" w:hanging="4" w:hangingChars="2"/>
              <w:jc w:val="left"/>
            </w:pPr>
            <w:r>
              <w:rPr>
                <w:rFonts w:hint="eastAsia" w:cs="宋体"/>
              </w:rPr>
              <w:t>理学类（</w:t>
            </w:r>
            <w:r>
              <w:t>07</w:t>
            </w:r>
            <w:r>
              <w:rPr>
                <w:rFonts w:hint="eastAsia" w:cs="宋体"/>
              </w:rPr>
              <w:t>）</w:t>
            </w:r>
          </w:p>
        </w:tc>
        <w:tc>
          <w:tcPr>
            <w:tcW w:w="1275" w:type="dxa"/>
            <w:vAlign w:val="center"/>
          </w:tcPr>
          <w:p>
            <w:pPr>
              <w:spacing w:line="360" w:lineRule="exact"/>
              <w:jc w:val="center"/>
            </w:pPr>
            <w:r>
              <w:t>8000</w:t>
            </w:r>
          </w:p>
        </w:tc>
        <w:tc>
          <w:tcPr>
            <w:tcW w:w="1357" w:type="dxa"/>
            <w:vAlign w:val="center"/>
          </w:tcPr>
          <w:p>
            <w:pPr>
              <w:spacing w:line="360" w:lineRule="exact"/>
              <w:jc w:val="center"/>
            </w:pPr>
            <w:r>
              <w:t>3</w:t>
            </w:r>
            <w:r>
              <w:rPr>
                <w:rFonts w:hint="eastAsia"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Merge w:val="continue"/>
            <w:vAlign w:val="center"/>
          </w:tcPr>
          <w:p>
            <w:pPr>
              <w:spacing w:line="360" w:lineRule="exact"/>
              <w:ind w:firstLine="480"/>
              <w:jc w:val="left"/>
            </w:pPr>
          </w:p>
        </w:tc>
        <w:tc>
          <w:tcPr>
            <w:tcW w:w="4024" w:type="dxa"/>
            <w:vAlign w:val="center"/>
          </w:tcPr>
          <w:p>
            <w:pPr>
              <w:spacing w:line="360" w:lineRule="exact"/>
              <w:ind w:leftChars="-2" w:hanging="4" w:hangingChars="2"/>
              <w:jc w:val="left"/>
            </w:pPr>
            <w:r>
              <w:rPr>
                <w:rFonts w:hint="eastAsia" w:cs="宋体"/>
              </w:rPr>
              <w:t>工学类（</w:t>
            </w:r>
            <w:r>
              <w:t>08</w:t>
            </w:r>
            <w:r>
              <w:rPr>
                <w:rFonts w:hint="eastAsia" w:cs="宋体"/>
              </w:rPr>
              <w:t>）</w:t>
            </w:r>
          </w:p>
        </w:tc>
        <w:tc>
          <w:tcPr>
            <w:tcW w:w="1275" w:type="dxa"/>
            <w:vAlign w:val="center"/>
          </w:tcPr>
          <w:p>
            <w:pPr>
              <w:spacing w:line="360" w:lineRule="exact"/>
              <w:jc w:val="center"/>
            </w:pPr>
            <w:r>
              <w:t>12000</w:t>
            </w:r>
          </w:p>
        </w:tc>
        <w:tc>
          <w:tcPr>
            <w:tcW w:w="1357" w:type="dxa"/>
            <w:vAlign w:val="center"/>
          </w:tcPr>
          <w:p>
            <w:pPr>
              <w:spacing w:line="360" w:lineRule="exact"/>
              <w:jc w:val="center"/>
            </w:pPr>
            <w:r>
              <w:t>3</w:t>
            </w:r>
            <w:r>
              <w:rPr>
                <w:rFonts w:hint="eastAsia"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2189" w:type="dxa"/>
            <w:vMerge w:val="continue"/>
            <w:vAlign w:val="center"/>
          </w:tcPr>
          <w:p>
            <w:pPr>
              <w:spacing w:line="360" w:lineRule="exact"/>
              <w:ind w:firstLine="480"/>
              <w:jc w:val="left"/>
            </w:pPr>
          </w:p>
        </w:tc>
        <w:tc>
          <w:tcPr>
            <w:tcW w:w="4024" w:type="dxa"/>
            <w:vAlign w:val="center"/>
          </w:tcPr>
          <w:p>
            <w:pPr>
              <w:spacing w:line="360" w:lineRule="exact"/>
              <w:ind w:leftChars="-2" w:hanging="4" w:hangingChars="2"/>
              <w:jc w:val="left"/>
            </w:pPr>
            <w:r>
              <w:rPr>
                <w:rFonts w:hint="eastAsia" w:cs="宋体"/>
              </w:rPr>
              <w:t>医学类（</w:t>
            </w:r>
            <w:r>
              <w:t>10</w:t>
            </w:r>
            <w:r>
              <w:rPr>
                <w:rFonts w:hint="eastAsia" w:cs="宋体"/>
              </w:rPr>
              <w:t>）</w:t>
            </w:r>
          </w:p>
        </w:tc>
        <w:tc>
          <w:tcPr>
            <w:tcW w:w="1275" w:type="dxa"/>
            <w:vAlign w:val="center"/>
          </w:tcPr>
          <w:p>
            <w:pPr>
              <w:spacing w:line="360" w:lineRule="exact"/>
              <w:jc w:val="center"/>
            </w:pPr>
            <w:r>
              <w:t>10000</w:t>
            </w:r>
          </w:p>
        </w:tc>
        <w:tc>
          <w:tcPr>
            <w:tcW w:w="1357" w:type="dxa"/>
            <w:vAlign w:val="center"/>
          </w:tcPr>
          <w:p>
            <w:pPr>
              <w:spacing w:line="360" w:lineRule="exact"/>
              <w:jc w:val="center"/>
            </w:pPr>
            <w:r>
              <w:t>3</w:t>
            </w:r>
            <w:r>
              <w:rPr>
                <w:rFonts w:hint="eastAsia"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2189" w:type="dxa"/>
            <w:vMerge w:val="continue"/>
            <w:vAlign w:val="center"/>
          </w:tcPr>
          <w:p>
            <w:pPr>
              <w:spacing w:line="360" w:lineRule="exact"/>
              <w:ind w:firstLine="480"/>
              <w:jc w:val="left"/>
            </w:pPr>
          </w:p>
        </w:tc>
        <w:tc>
          <w:tcPr>
            <w:tcW w:w="4024" w:type="dxa"/>
            <w:vAlign w:val="center"/>
          </w:tcPr>
          <w:p>
            <w:pPr>
              <w:spacing w:line="360" w:lineRule="exact"/>
              <w:ind w:leftChars="-2" w:hanging="4" w:hangingChars="2"/>
              <w:jc w:val="left"/>
              <w:rPr>
                <w:rFonts w:cs="宋体"/>
              </w:rPr>
            </w:pPr>
            <w:r>
              <w:rPr>
                <w:rFonts w:hint="eastAsia" w:cs="宋体"/>
              </w:rPr>
              <w:t>管理学类（</w:t>
            </w:r>
            <w:r>
              <w:rPr>
                <w:rFonts w:cs="宋体"/>
              </w:rPr>
              <w:t>12</w:t>
            </w:r>
            <w:r>
              <w:rPr>
                <w:rFonts w:hint="eastAsia" w:cs="宋体"/>
              </w:rPr>
              <w:t>）（不含</w:t>
            </w:r>
            <w:r>
              <w:rPr>
                <w:rFonts w:cs="宋体"/>
              </w:rPr>
              <w:t>MBA</w:t>
            </w:r>
            <w:r>
              <w:rPr>
                <w:rFonts w:hint="eastAsia" w:cs="宋体"/>
              </w:rPr>
              <w:t>）</w:t>
            </w:r>
          </w:p>
        </w:tc>
        <w:tc>
          <w:tcPr>
            <w:tcW w:w="1275" w:type="dxa"/>
            <w:vAlign w:val="center"/>
          </w:tcPr>
          <w:p>
            <w:pPr>
              <w:spacing w:line="360" w:lineRule="exact"/>
              <w:jc w:val="center"/>
            </w:pPr>
            <w:r>
              <w:t>14000</w:t>
            </w:r>
          </w:p>
        </w:tc>
        <w:tc>
          <w:tcPr>
            <w:tcW w:w="1357" w:type="dxa"/>
            <w:vAlign w:val="center"/>
          </w:tcPr>
          <w:p>
            <w:pPr>
              <w:spacing w:line="360" w:lineRule="exact"/>
              <w:jc w:val="center"/>
            </w:pPr>
            <w:r>
              <w:t>3</w:t>
            </w:r>
            <w:r>
              <w:rPr>
                <w:rFonts w:hint="eastAsia"/>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2189" w:type="dxa"/>
            <w:vMerge w:val="continue"/>
            <w:vAlign w:val="center"/>
          </w:tcPr>
          <w:p>
            <w:pPr>
              <w:spacing w:line="360" w:lineRule="exact"/>
              <w:ind w:firstLine="480"/>
              <w:jc w:val="left"/>
            </w:pPr>
          </w:p>
        </w:tc>
        <w:tc>
          <w:tcPr>
            <w:tcW w:w="4024" w:type="dxa"/>
            <w:vAlign w:val="center"/>
          </w:tcPr>
          <w:p>
            <w:pPr>
              <w:spacing w:line="360" w:lineRule="exact"/>
              <w:ind w:leftChars="-2" w:hanging="4" w:hangingChars="2"/>
              <w:jc w:val="left"/>
            </w:pPr>
            <w:r>
              <w:rPr>
                <w:rFonts w:hint="eastAsia" w:cs="宋体"/>
              </w:rPr>
              <w:t>艺术学类（</w:t>
            </w:r>
            <w:r>
              <w:t>13</w:t>
            </w:r>
            <w:r>
              <w:rPr>
                <w:rFonts w:hint="eastAsia" w:cs="宋体"/>
              </w:rPr>
              <w:t>）</w:t>
            </w:r>
          </w:p>
        </w:tc>
        <w:tc>
          <w:tcPr>
            <w:tcW w:w="1275" w:type="dxa"/>
            <w:vAlign w:val="center"/>
          </w:tcPr>
          <w:p>
            <w:pPr>
              <w:spacing w:line="360" w:lineRule="exact"/>
              <w:jc w:val="center"/>
            </w:pPr>
            <w:r>
              <w:t>9000</w:t>
            </w:r>
          </w:p>
        </w:tc>
        <w:tc>
          <w:tcPr>
            <w:tcW w:w="1357" w:type="dxa"/>
            <w:vAlign w:val="center"/>
          </w:tcPr>
          <w:p>
            <w:pPr>
              <w:spacing w:line="360" w:lineRule="exact"/>
              <w:jc w:val="center"/>
            </w:pPr>
            <w:r>
              <w:t>3</w:t>
            </w:r>
            <w:r>
              <w:rPr>
                <w:rFonts w:hint="eastAsia"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2189" w:type="dxa"/>
            <w:vMerge w:val="continue"/>
            <w:vAlign w:val="center"/>
          </w:tcPr>
          <w:p>
            <w:pPr>
              <w:spacing w:line="360" w:lineRule="exact"/>
              <w:ind w:firstLine="480"/>
              <w:jc w:val="left"/>
            </w:pPr>
          </w:p>
        </w:tc>
        <w:tc>
          <w:tcPr>
            <w:tcW w:w="4024" w:type="dxa"/>
            <w:vAlign w:val="center"/>
          </w:tcPr>
          <w:p>
            <w:pPr>
              <w:spacing w:line="360" w:lineRule="exact"/>
              <w:ind w:leftChars="-2" w:hanging="3" w:hangingChars="2"/>
              <w:jc w:val="left"/>
              <w:rPr>
                <w:rFonts w:ascii="宋体"/>
                <w:sz w:val="18"/>
                <w:szCs w:val="18"/>
              </w:rPr>
            </w:pPr>
            <w:r>
              <w:rPr>
                <w:rFonts w:hint="eastAsia" w:ascii="宋体" w:hAnsi="宋体" w:cs="宋体"/>
                <w:sz w:val="18"/>
                <w:szCs w:val="18"/>
              </w:rPr>
              <w:t>工商管理硕士</w:t>
            </w:r>
            <w:r>
              <w:rPr>
                <w:rFonts w:ascii="宋体" w:hAnsi="宋体" w:cs="宋体"/>
                <w:sz w:val="18"/>
                <w:szCs w:val="18"/>
              </w:rPr>
              <w:t>(</w:t>
            </w:r>
            <w:r>
              <w:rPr>
                <w:rFonts w:ascii="宋体" w:hAnsi="宋体"/>
                <w:sz w:val="18"/>
                <w:szCs w:val="18"/>
              </w:rPr>
              <w:t>MBA</w:t>
            </w:r>
            <w:r>
              <w:rPr>
                <w:rFonts w:ascii="宋体" w:hAnsi="宋体" w:cs="宋体"/>
                <w:sz w:val="18"/>
                <w:szCs w:val="18"/>
              </w:rPr>
              <w:t>)(</w:t>
            </w:r>
            <w:r>
              <w:rPr>
                <w:rFonts w:hint="eastAsia" w:ascii="宋体" w:hAnsi="宋体" w:cs="宋体"/>
                <w:sz w:val="18"/>
                <w:szCs w:val="18"/>
              </w:rPr>
              <w:t>不含深圳研究院</w:t>
            </w:r>
            <w:r>
              <w:rPr>
                <w:rFonts w:ascii="宋体" w:hAnsi="宋体" w:cs="宋体"/>
                <w:sz w:val="18"/>
                <w:szCs w:val="18"/>
              </w:rPr>
              <w:t>)</w:t>
            </w:r>
          </w:p>
        </w:tc>
        <w:tc>
          <w:tcPr>
            <w:tcW w:w="1275" w:type="dxa"/>
            <w:vAlign w:val="center"/>
          </w:tcPr>
          <w:p>
            <w:pPr>
              <w:spacing w:line="360" w:lineRule="exact"/>
              <w:jc w:val="center"/>
            </w:pPr>
            <w:r>
              <w:t>20000</w:t>
            </w:r>
          </w:p>
        </w:tc>
        <w:tc>
          <w:tcPr>
            <w:tcW w:w="1357" w:type="dxa"/>
            <w:vAlign w:val="center"/>
          </w:tcPr>
          <w:p>
            <w:pPr>
              <w:spacing w:line="360" w:lineRule="exact"/>
              <w:jc w:val="center"/>
            </w:pPr>
            <w:r>
              <w:t>3</w:t>
            </w:r>
            <w:r>
              <w:rPr>
                <w:rFonts w:hint="eastAsia"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2189" w:type="dxa"/>
            <w:vMerge w:val="continue"/>
            <w:vAlign w:val="center"/>
          </w:tcPr>
          <w:p>
            <w:pPr>
              <w:spacing w:line="360" w:lineRule="exact"/>
              <w:ind w:firstLine="480"/>
              <w:jc w:val="left"/>
            </w:pPr>
          </w:p>
        </w:tc>
        <w:tc>
          <w:tcPr>
            <w:tcW w:w="4024" w:type="dxa"/>
            <w:vAlign w:val="center"/>
          </w:tcPr>
          <w:p>
            <w:pPr>
              <w:spacing w:line="360" w:lineRule="exact"/>
              <w:ind w:leftChars="-2" w:hanging="3" w:hangingChars="2"/>
              <w:jc w:val="left"/>
              <w:rPr>
                <w:rFonts w:ascii="宋体"/>
                <w:sz w:val="18"/>
                <w:szCs w:val="18"/>
              </w:rPr>
            </w:pPr>
            <w:r>
              <w:rPr>
                <w:rFonts w:hint="eastAsia" w:ascii="宋体" w:hAnsi="宋体" w:cs="宋体"/>
                <w:sz w:val="18"/>
                <w:szCs w:val="18"/>
              </w:rPr>
              <w:t>工商管理硕士</w:t>
            </w:r>
            <w:r>
              <w:rPr>
                <w:rFonts w:ascii="宋体" w:hAnsi="宋体" w:cs="宋体"/>
                <w:sz w:val="18"/>
                <w:szCs w:val="18"/>
              </w:rPr>
              <w:t>(</w:t>
            </w:r>
            <w:r>
              <w:rPr>
                <w:rFonts w:ascii="宋体" w:hAnsi="宋体"/>
                <w:sz w:val="18"/>
                <w:szCs w:val="18"/>
              </w:rPr>
              <w:t>MBA</w:t>
            </w:r>
            <w:r>
              <w:rPr>
                <w:rFonts w:ascii="宋体" w:hAnsi="宋体" w:cs="宋体"/>
                <w:sz w:val="18"/>
                <w:szCs w:val="18"/>
              </w:rPr>
              <w:t>)(</w:t>
            </w:r>
            <w:r>
              <w:rPr>
                <w:rFonts w:hint="eastAsia" w:ascii="宋体" w:hAnsi="宋体" w:cs="宋体"/>
                <w:sz w:val="18"/>
                <w:szCs w:val="18"/>
              </w:rPr>
              <w:t>深圳研究院</w:t>
            </w:r>
            <w:r>
              <w:rPr>
                <w:rFonts w:ascii="宋体" w:hAnsi="宋体" w:cs="宋体"/>
                <w:sz w:val="18"/>
                <w:szCs w:val="18"/>
              </w:rPr>
              <w:t>)</w:t>
            </w:r>
          </w:p>
        </w:tc>
        <w:tc>
          <w:tcPr>
            <w:tcW w:w="1275" w:type="dxa"/>
            <w:vAlign w:val="center"/>
          </w:tcPr>
          <w:p>
            <w:pPr>
              <w:spacing w:line="360" w:lineRule="exact"/>
              <w:jc w:val="center"/>
            </w:pPr>
            <w:r>
              <w:t>30000</w:t>
            </w:r>
          </w:p>
        </w:tc>
        <w:tc>
          <w:tcPr>
            <w:tcW w:w="1357" w:type="dxa"/>
            <w:vAlign w:val="center"/>
          </w:tcPr>
          <w:p>
            <w:pPr>
              <w:spacing w:line="360" w:lineRule="exact"/>
              <w:jc w:val="center"/>
            </w:pPr>
            <w:r>
              <w:t>3</w:t>
            </w:r>
            <w:r>
              <w:rPr>
                <w:rFonts w:hint="eastAsia"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6213" w:type="dxa"/>
            <w:gridSpan w:val="2"/>
            <w:vAlign w:val="center"/>
          </w:tcPr>
          <w:p>
            <w:pPr>
              <w:spacing w:line="360" w:lineRule="exact"/>
              <w:jc w:val="left"/>
            </w:pPr>
            <w:r>
              <w:rPr>
                <w:rStyle w:val="5"/>
                <w:rFonts w:hint="eastAsia" w:ascii="宋体" w:hAnsi="宋体" w:cs="宋体"/>
              </w:rPr>
              <w:t>高级管理人员工商管理硕士（</w:t>
            </w:r>
            <w:r>
              <w:rPr>
                <w:rStyle w:val="5"/>
                <w:rFonts w:ascii="宋体" w:hAnsi="宋体" w:cs="宋体"/>
              </w:rPr>
              <w:t>EMBA</w:t>
            </w:r>
            <w:r>
              <w:rPr>
                <w:rStyle w:val="5"/>
                <w:rFonts w:hint="eastAsia" w:ascii="宋体" w:hAnsi="宋体" w:cs="宋体"/>
              </w:rPr>
              <w:t>）</w:t>
            </w:r>
          </w:p>
        </w:tc>
        <w:tc>
          <w:tcPr>
            <w:tcW w:w="1275" w:type="dxa"/>
            <w:vAlign w:val="center"/>
          </w:tcPr>
          <w:p>
            <w:pPr>
              <w:spacing w:line="360" w:lineRule="exact"/>
              <w:jc w:val="center"/>
            </w:pPr>
            <w:r>
              <w:rPr>
                <w:rFonts w:hint="eastAsia"/>
              </w:rPr>
              <w:t>不超过</w:t>
            </w:r>
            <w:r>
              <w:t>20</w:t>
            </w:r>
            <w:r>
              <w:rPr>
                <w:rFonts w:hint="eastAsia"/>
              </w:rPr>
              <w:t>万（</w:t>
            </w:r>
            <w:r>
              <w:t>3</w:t>
            </w:r>
            <w:r>
              <w:rPr>
                <w:rFonts w:hint="eastAsia" w:cs="宋体"/>
              </w:rPr>
              <w:t>年共</w:t>
            </w:r>
            <w:r>
              <w:t>26</w:t>
            </w:r>
            <w:r>
              <w:rPr>
                <w:rFonts w:hint="eastAsia" w:cs="宋体"/>
              </w:rPr>
              <w:t>万）</w:t>
            </w:r>
          </w:p>
        </w:tc>
        <w:tc>
          <w:tcPr>
            <w:tcW w:w="1357" w:type="dxa"/>
            <w:vAlign w:val="center"/>
          </w:tcPr>
          <w:p>
            <w:pPr>
              <w:spacing w:line="360" w:lineRule="exact"/>
              <w:jc w:val="center"/>
            </w:pPr>
            <w:r>
              <w:t>3</w:t>
            </w:r>
            <w:r>
              <w:rPr>
                <w:rFonts w:hint="eastAsia" w:cs="宋体"/>
              </w:rPr>
              <w:t>年</w:t>
            </w:r>
          </w:p>
        </w:tc>
      </w:tr>
    </w:tbl>
    <w:p>
      <w:pPr>
        <w:spacing w:line="360" w:lineRule="exact"/>
        <w:ind w:right="-118" w:rightChars="-56"/>
        <w:jc w:val="left"/>
        <w:rPr>
          <w:rFonts w:ascii="仿宋_GB2312" w:eastAsia="仿宋_GB2312"/>
          <w:sz w:val="24"/>
        </w:rPr>
      </w:pPr>
    </w:p>
    <w:p>
      <w:pPr>
        <w:ind w:firstLine="480" w:firstLineChars="200"/>
      </w:pPr>
      <w:r>
        <w:rPr>
          <w:sz w:val="24"/>
        </w:rPr>
        <w:t>9</w:t>
      </w:r>
      <w:r>
        <w:rPr>
          <w:rFonts w:ascii="仿宋_GB2312" w:hAnsi="宋体" w:eastAsia="仿宋_GB2312" w:cs="Arial"/>
          <w:kern w:val="0"/>
          <w:sz w:val="24"/>
        </w:rPr>
        <w:t>.</w:t>
      </w:r>
      <w:r>
        <w:rPr>
          <w:rFonts w:hint="eastAsia" w:ascii="仿宋_GB2312" w:hAnsi="宋体" w:eastAsia="仿宋_GB2312" w:cs="Arial"/>
          <w:kern w:val="0"/>
          <w:sz w:val="24"/>
        </w:rPr>
        <w:t>与美国加州大学旧金山分校联合举办的护理学硕士项目，学费标准在上报湖南省政府部门审批中，暂按</w:t>
      </w:r>
      <w:r>
        <w:rPr>
          <w:rFonts w:ascii="仿宋_GB2312" w:hAnsi="宋体" w:eastAsia="仿宋_GB2312" w:cs="Arial"/>
          <w:kern w:val="0"/>
          <w:sz w:val="24"/>
        </w:rPr>
        <w:t>4.5</w:t>
      </w:r>
      <w:r>
        <w:rPr>
          <w:rFonts w:hint="eastAsia" w:ascii="仿宋_GB2312" w:hAnsi="宋体" w:eastAsia="仿宋_GB2312" w:cs="Arial"/>
          <w:kern w:val="0"/>
          <w:sz w:val="24"/>
        </w:rPr>
        <w:t>万元</w:t>
      </w:r>
      <w:r>
        <w:rPr>
          <w:rFonts w:ascii="仿宋_GB2312" w:hAnsi="宋体" w:eastAsia="仿宋_GB2312" w:cs="Arial"/>
          <w:kern w:val="0"/>
          <w:sz w:val="24"/>
        </w:rPr>
        <w:t>/</w:t>
      </w:r>
      <w:r>
        <w:rPr>
          <w:rFonts w:hint="eastAsia" w:ascii="仿宋_GB2312" w:hAnsi="宋体" w:eastAsia="仿宋_GB2312" w:cs="Arial"/>
          <w:kern w:val="0"/>
          <w:sz w:val="24"/>
        </w:rPr>
        <w:t>生、年的标准收取，待获得湖南省政府部门批复后按照多退少补原则进行结算。</w:t>
      </w:r>
    </w:p>
    <w:p/>
    <w:sectPr>
      <w:headerReference r:id="rId5" w:type="first"/>
      <w:footerReference r:id="rId8" w:type="first"/>
      <w:headerReference r:id="rId3" w:type="default"/>
      <w:footerReference r:id="rId6" w:type="default"/>
      <w:headerReference r:id="rId4" w:type="even"/>
      <w:footerReference r:id="rId7" w:type="even"/>
      <w:pgSz w:w="11906" w:h="16838"/>
      <w:pgMar w:top="1134" w:right="851"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Arial Narrow">
    <w:altName w:val="Arial"/>
    <w:panose1 w:val="020B0606020202030204"/>
    <w:charset w:val="00"/>
    <w:family w:val="swiss"/>
    <w:pitch w:val="default"/>
    <w:sig w:usb0="00000000" w:usb1="00000000" w:usb2="00000000" w:usb3="00000000" w:csb0="0000009F" w:csb1="00000000"/>
  </w:font>
  <w:font w:name="Malgun Gothic">
    <w:panose1 w:val="020B0503020000020004"/>
    <w:charset w:val="81"/>
    <w:family w:val="swiss"/>
    <w:pitch w:val="default"/>
    <w:sig w:usb0="900002AF" w:usb1="01D77CFB" w:usb2="00000012" w:usb3="00000000" w:csb0="00080001" w:csb1="00000000"/>
  </w:font>
  <w:font w:name="方正小标宋简体">
    <w:altName w:val="微软雅黑"/>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19</w:t>
    </w:r>
    <w:r>
      <w:rPr>
        <w:lang w:val="zh-CN"/>
      </w:rPr>
      <w:fldChar w:fldCharType="end"/>
    </w:r>
  </w:p>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6C0B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0"/>
    <w:rPr>
      <w:rFonts w:cs="Times New Roman"/>
      <w:b/>
      <w:bCs/>
    </w:rPr>
  </w:style>
  <w:style w:type="character" w:styleId="6">
    <w:name w:val="page number"/>
    <w:basedOn w:val="4"/>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2018-03-19T03:15:28Z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